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2B5FF" w14:textId="2EA7B763" w:rsidR="0077671B" w:rsidRDefault="0077671B" w:rsidP="00B77D87">
      <w:pPr>
        <w:rPr>
          <w:u w:val="single"/>
        </w:rPr>
      </w:pPr>
      <w:r>
        <w:rPr>
          <w:u w:val="single"/>
        </w:rPr>
        <w:t>Portfolio Changes Summary</w:t>
      </w:r>
    </w:p>
    <w:p w14:paraId="073058D8" w14:textId="29D54BCD" w:rsidR="0077671B" w:rsidRPr="0077671B" w:rsidRDefault="00487BA6" w:rsidP="00B77D87">
      <w:bookmarkStart w:id="0" w:name="_Hlk107931198"/>
      <w:r>
        <w:t xml:space="preserve">Changes to </w:t>
      </w:r>
      <w:r w:rsidR="005B2871">
        <w:t>the</w:t>
      </w:r>
      <w:r>
        <w:t xml:space="preserve"> portfolio have been proposed</w:t>
      </w:r>
      <w:r w:rsidR="005B2871">
        <w:t>.</w:t>
      </w:r>
      <w:r>
        <w:t xml:space="preserve"> </w:t>
      </w:r>
      <w:r w:rsidR="0077671B">
        <w:t>These changes better align the portfolio to the</w:t>
      </w:r>
      <w:r w:rsidR="0077671B" w:rsidRPr="0077671B">
        <w:t xml:space="preserve"> elevated risks in markets stemming from persistent inflation, central bank reaction to this inflation, geopolitical risks</w:t>
      </w:r>
      <w:r w:rsidR="001A0D55">
        <w:t>,</w:t>
      </w:r>
      <w:r w:rsidR="0077671B" w:rsidRPr="0077671B">
        <w:t xml:space="preserve"> and energy shortfalls. This environment is likely to persist in the short-medium term as inflation is targeted by central banks. A distortion of returns on a country, sector, sub-sector, and style basis is likely to persist. Research is monitoring recession risk closely as this would likely result in a more persistent market downturn, especially with elevated inflation</w:t>
      </w:r>
      <w:r w:rsidR="005B2871">
        <w:t xml:space="preserve"> not allowing for accommodative central bank policy</w:t>
      </w:r>
      <w:r w:rsidR="0077671B" w:rsidRPr="0077671B">
        <w:t>.</w:t>
      </w:r>
    </w:p>
    <w:bookmarkEnd w:id="0"/>
    <w:p w14:paraId="30FBBCFE" w14:textId="0ABCC724" w:rsidR="00B77D87" w:rsidRPr="00B77D87" w:rsidRDefault="00B77D87" w:rsidP="00B77D87">
      <w:pPr>
        <w:rPr>
          <w:u w:val="single"/>
        </w:rPr>
      </w:pPr>
      <w:r w:rsidRPr="00B77D87">
        <w:rPr>
          <w:u w:val="single"/>
        </w:rPr>
        <w:t xml:space="preserve">AUSTRALIAN EQUITY CHANGES </w:t>
      </w:r>
    </w:p>
    <w:p w14:paraId="2767A842" w14:textId="1090425B" w:rsidR="00C57825" w:rsidRDefault="00B77D87" w:rsidP="00B77D87">
      <w:pPr>
        <w:rPr>
          <w:b/>
          <w:bCs/>
        </w:rPr>
      </w:pPr>
      <w:bookmarkStart w:id="1" w:name="_Hlk107931349"/>
      <w:r w:rsidRPr="00B77D87">
        <w:rPr>
          <w:b/>
          <w:bCs/>
        </w:rPr>
        <w:t>Removal of</w:t>
      </w:r>
      <w:r w:rsidR="00C57825">
        <w:rPr>
          <w:b/>
          <w:bCs/>
        </w:rPr>
        <w:t xml:space="preserve"> Hyperion Australian Growth Companies Fund</w:t>
      </w:r>
      <w:r w:rsidR="00D30640">
        <w:rPr>
          <w:b/>
          <w:bCs/>
        </w:rPr>
        <w:t xml:space="preserve"> – </w:t>
      </w:r>
      <w:r w:rsidR="00C57825">
        <w:rPr>
          <w:b/>
          <w:bCs/>
        </w:rPr>
        <w:t>BNT0003AU</w:t>
      </w:r>
      <w:bookmarkStart w:id="2" w:name="_Toc34924317"/>
      <w:bookmarkStart w:id="3" w:name="_Hlk63867506"/>
    </w:p>
    <w:p w14:paraId="14B85953" w14:textId="3DD31C20" w:rsidR="00C57825" w:rsidRPr="00C57825" w:rsidRDefault="00C57825" w:rsidP="00B77D87">
      <w:bookmarkStart w:id="4" w:name="_Hlk107920486"/>
      <w:bookmarkStart w:id="5" w:name="_Hlk107921513"/>
      <w:r w:rsidRPr="00C57825">
        <w:t xml:space="preserve">The </w:t>
      </w:r>
      <w:r>
        <w:t>decision to remove Hyperion Australian Growth</w:t>
      </w:r>
      <w:r w:rsidR="001A0D55">
        <w:t xml:space="preserve"> Companies Fund</w:t>
      </w:r>
      <w:r>
        <w:t xml:space="preserve"> is centred around </w:t>
      </w:r>
      <w:r w:rsidR="00BE0E73">
        <w:t xml:space="preserve">reducing the overall risk in the portfolio. </w:t>
      </w:r>
      <w:r>
        <w:t>Unlike the Hyperion Global Growth fund, the Australian fund has a smaller universe</w:t>
      </w:r>
      <w:r w:rsidR="00BE0E73">
        <w:t xml:space="preserve"> compared to the global fund, for this purpose we will be keeping Hyperion Global in International shares. The purpose of this change does not reflect any negative view on the manager, the main purpose is to reduce the overall risk in the portfolio.</w:t>
      </w:r>
      <w:bookmarkEnd w:id="4"/>
    </w:p>
    <w:bookmarkEnd w:id="5"/>
    <w:p w14:paraId="14268D69" w14:textId="1AE7BB4A" w:rsidR="00B77D87" w:rsidRPr="00B77D87" w:rsidRDefault="008B7FDB" w:rsidP="00B77D87">
      <w:pPr>
        <w:rPr>
          <w:b/>
          <w:bCs/>
        </w:rPr>
      </w:pPr>
      <w:r>
        <w:rPr>
          <w:b/>
          <w:bCs/>
        </w:rPr>
        <w:t xml:space="preserve">Addition Fidelity Australian Equities Fund </w:t>
      </w:r>
      <w:r w:rsidR="00D30640">
        <w:rPr>
          <w:b/>
          <w:bCs/>
        </w:rPr>
        <w:t xml:space="preserve">– </w:t>
      </w:r>
      <w:r>
        <w:rPr>
          <w:b/>
          <w:bCs/>
        </w:rPr>
        <w:t>FID0008AU</w:t>
      </w:r>
    </w:p>
    <w:p w14:paraId="41DB7895" w14:textId="219B5198" w:rsidR="005117D2" w:rsidRDefault="005117D2" w:rsidP="00307A21">
      <w:r>
        <w:t>The decision to add Fidelity to the portfolio is centred around reducing the risk to the overall portfolio whil</w:t>
      </w:r>
      <w:r w:rsidR="005B2871">
        <w:t>st</w:t>
      </w:r>
      <w:r>
        <w:t xml:space="preserve"> maintaining </w:t>
      </w:r>
      <w:r w:rsidR="005B2871">
        <w:t xml:space="preserve">the </w:t>
      </w:r>
      <w:r>
        <w:t xml:space="preserve">exposure to the growth style. </w:t>
      </w:r>
      <w:r w:rsidR="005B2871">
        <w:t>Utilising this manager will</w:t>
      </w:r>
      <w:r w:rsidRPr="005117D2">
        <w:t xml:space="preserve"> lower the risk in</w:t>
      </w:r>
      <w:r w:rsidR="005B2871">
        <w:t xml:space="preserve"> the growth style</w:t>
      </w:r>
      <w:r w:rsidR="00FA7273">
        <w:t xml:space="preserve"> exposure</w:t>
      </w:r>
      <w:r w:rsidR="005B2871">
        <w:t>.</w:t>
      </w:r>
    </w:p>
    <w:p w14:paraId="615EB73F" w14:textId="399E358D" w:rsidR="000C3648" w:rsidRPr="00307A21" w:rsidRDefault="000C3648" w:rsidP="00307A21">
      <w:r w:rsidRPr="00655AFD">
        <w:t xml:space="preserve">The Fidelity Australian Equities Fund is a long-only, active growth manager within Australian Equities that aims at targeting growth companies but has stringent measures of valuation that puts the manager in the growth-at-a-reasonable-price category (GARP). This means the manager will have </w:t>
      </w:r>
      <w:r w:rsidR="005B2871">
        <w:t>overall lower risk to Hyperion.</w:t>
      </w:r>
    </w:p>
    <w:p w14:paraId="2F790B69" w14:textId="0769E57D" w:rsidR="000C3648" w:rsidRPr="00655AFD" w:rsidRDefault="000C3648" w:rsidP="005117D2">
      <w:r w:rsidRPr="00655AFD">
        <w:t>Fidelity is one of the best resourced fund managers globally. The core investment philosophy of the Fund is centred around three principles; markets are semi-efficient, in-house research adds value, and stock selection is the best contributor to outperformance.</w:t>
      </w:r>
      <w:r w:rsidR="005117D2">
        <w:t xml:space="preserve"> </w:t>
      </w:r>
      <w:r w:rsidRPr="00655AFD">
        <w:t>It underperformed Hyperion in the Covid-19 market due to the dominant role high growth technology names played on the rise but has also protected capital significantly relative to Hyperion in the current market. Research is aiming to target lower volatility within the growth manager and Fidelity should achieve this.</w:t>
      </w:r>
    </w:p>
    <w:p w14:paraId="09260397" w14:textId="353AE194" w:rsidR="00B77D87" w:rsidRPr="00B77D87" w:rsidRDefault="00B77D87" w:rsidP="00B77D87">
      <w:pPr>
        <w:rPr>
          <w:u w:val="single"/>
        </w:rPr>
      </w:pPr>
      <w:bookmarkStart w:id="6" w:name="_Hlk107931400"/>
      <w:bookmarkEnd w:id="1"/>
      <w:r w:rsidRPr="00B77D87">
        <w:rPr>
          <w:u w:val="single"/>
        </w:rPr>
        <w:t xml:space="preserve">International Equity Changes  </w:t>
      </w:r>
    </w:p>
    <w:p w14:paraId="4F4E4ACF" w14:textId="0FAED802" w:rsidR="00D30640" w:rsidRDefault="00D30640" w:rsidP="00B77D87">
      <w:pPr>
        <w:rPr>
          <w:b/>
          <w:bCs/>
        </w:rPr>
      </w:pPr>
      <w:r>
        <w:rPr>
          <w:b/>
          <w:bCs/>
        </w:rPr>
        <w:t>Removal of Magellan Global Fund (Hedged) – MGE0007AH</w:t>
      </w:r>
    </w:p>
    <w:p w14:paraId="73F8F977" w14:textId="0531773A" w:rsidR="005117D2" w:rsidRPr="00665AD9" w:rsidRDefault="005117D2" w:rsidP="00F37751">
      <w:r w:rsidRPr="00665AD9">
        <w:t>The removal of Magellan has been due to our realignment to a core style in the portfolios</w:t>
      </w:r>
      <w:r w:rsidR="00666707">
        <w:t>.</w:t>
      </w:r>
      <w:r w:rsidRPr="005117D2">
        <w:t xml:space="preserve"> </w:t>
      </w:r>
      <w:r w:rsidRPr="00665AD9">
        <w:t>The wider industry is aware of the turbulence that has occurred within Magellan over the past year. The exit by Hamish Douglas initially created a period of monitoring by Research to assess how well the team of Chris Mackay and Ni</w:t>
      </w:r>
      <w:r w:rsidR="00666707">
        <w:t>k</w:t>
      </w:r>
      <w:r w:rsidRPr="00665AD9">
        <w:t xml:space="preserve">ki Thomas could cope with the changeover. While this has been mitigated, Research felt it best to reduce the growth bias in the portfolios. </w:t>
      </w:r>
      <w:r w:rsidR="00665AD9" w:rsidRPr="00665AD9">
        <w:t>Whi</w:t>
      </w:r>
      <w:r w:rsidR="00666707">
        <w:t>lst</w:t>
      </w:r>
      <w:r w:rsidR="00665AD9" w:rsidRPr="00665AD9">
        <w:t xml:space="preserve"> the performance of the fund has been lacklustre, </w:t>
      </w:r>
      <w:r w:rsidR="00666707">
        <w:t>the</w:t>
      </w:r>
      <w:r w:rsidR="00666707" w:rsidRPr="00665AD9">
        <w:t xml:space="preserve"> </w:t>
      </w:r>
      <w:r w:rsidR="00665AD9" w:rsidRPr="00665AD9">
        <w:t xml:space="preserve">decision has been centred around </w:t>
      </w:r>
      <w:r w:rsidR="00666707">
        <w:t>the</w:t>
      </w:r>
      <w:r w:rsidR="00666707" w:rsidRPr="00665AD9">
        <w:t xml:space="preserve"> </w:t>
      </w:r>
      <w:r w:rsidR="00665AD9" w:rsidRPr="00665AD9">
        <w:t>need for</w:t>
      </w:r>
      <w:r w:rsidR="00666707">
        <w:t xml:space="preserve"> a</w:t>
      </w:r>
      <w:r w:rsidR="00665AD9" w:rsidRPr="00665AD9">
        <w:t xml:space="preserve"> volatility control manager during this environment like</w:t>
      </w:r>
      <w:r w:rsidR="00666707">
        <w:t xml:space="preserve"> in</w:t>
      </w:r>
      <w:r w:rsidR="00665AD9" w:rsidRPr="00665AD9">
        <w:t xml:space="preserve"> </w:t>
      </w:r>
      <w:r w:rsidR="00666707">
        <w:t>the</w:t>
      </w:r>
      <w:r w:rsidR="00665AD9" w:rsidRPr="00665AD9">
        <w:t xml:space="preserve"> Australian equity sle</w:t>
      </w:r>
      <w:r w:rsidR="00666707">
        <w:t>e</w:t>
      </w:r>
      <w:r w:rsidR="00665AD9" w:rsidRPr="00665AD9">
        <w:t>ve.</w:t>
      </w:r>
      <w:r w:rsidRPr="00665AD9">
        <w:t xml:space="preserve"> We feel that State Street along with Arrowstreet will play a better role in the portfolio when blended with Hyperion and Antipodes.</w:t>
      </w:r>
    </w:p>
    <w:p w14:paraId="4EC88490" w14:textId="1B32FA14" w:rsidR="00D30640" w:rsidRDefault="00D30640" w:rsidP="00B77D87">
      <w:pPr>
        <w:rPr>
          <w:b/>
          <w:bCs/>
        </w:rPr>
      </w:pPr>
      <w:r>
        <w:rPr>
          <w:b/>
          <w:bCs/>
        </w:rPr>
        <w:t xml:space="preserve">Removal UBS Emerging Markets Equity Fund – UBS8018AU </w:t>
      </w:r>
    </w:p>
    <w:p w14:paraId="6E839A6E" w14:textId="24CB75A2" w:rsidR="00D30640" w:rsidRPr="00594F61" w:rsidRDefault="00F37751" w:rsidP="00B77D87">
      <w:r>
        <w:t xml:space="preserve">UBS Emerging Markets Equity Fund has been removed from the portfolio </w:t>
      </w:r>
      <w:r w:rsidR="00594F61" w:rsidRPr="00594F61">
        <w:t xml:space="preserve">due to the loss in conviction in the strategy. UBS was originally added to the portfolio due to their unique insights and on-the-ground expertise in EM, especially China. For the last 1.5-2 years China has been underperforming EM due to the increased regulatory environment. UBS </w:t>
      </w:r>
      <w:r w:rsidR="00594F61" w:rsidRPr="00594F61">
        <w:lastRenderedPageBreak/>
        <w:t xml:space="preserve">did not mitigate this risk across this period. </w:t>
      </w:r>
      <w:r>
        <w:t>It would be expected that</w:t>
      </w:r>
      <w:r w:rsidR="00594F61" w:rsidRPr="00594F61">
        <w:t xml:space="preserve"> significant reductions to their overweight to China</w:t>
      </w:r>
      <w:r>
        <w:t xml:space="preserve"> would take place,</w:t>
      </w:r>
      <w:r w:rsidR="00594F61" w:rsidRPr="00594F61">
        <w:t xml:space="preserve"> given the prolonged effect Chinese-centric issues had on the portfolio. </w:t>
      </w:r>
      <w:r>
        <w:t>This did not occur and hence conviction was lost overall.</w:t>
      </w:r>
    </w:p>
    <w:p w14:paraId="297C0FE7" w14:textId="24890143" w:rsidR="00D30640" w:rsidRDefault="00D30640" w:rsidP="00B77D87">
      <w:pPr>
        <w:rPr>
          <w:b/>
          <w:bCs/>
        </w:rPr>
      </w:pPr>
      <w:r>
        <w:rPr>
          <w:b/>
          <w:bCs/>
        </w:rPr>
        <w:t>Addition Arrowstreet Global Equity Fund (Hedged) – MAQ0079AU</w:t>
      </w:r>
    </w:p>
    <w:p w14:paraId="6F6A3417" w14:textId="2692239D" w:rsidR="00594F61" w:rsidRPr="0077671B" w:rsidRDefault="005410C4" w:rsidP="00594F61">
      <w:r>
        <w:t>The addition of Arrowstreet</w:t>
      </w:r>
      <w:r w:rsidR="00594F61" w:rsidRPr="0077671B">
        <w:t xml:space="preserve"> </w:t>
      </w:r>
      <w:r>
        <w:t>will</w:t>
      </w:r>
      <w:r w:rsidR="00594F61" w:rsidRPr="0077671B">
        <w:t xml:space="preserve"> reduce overall risk</w:t>
      </w:r>
      <w:r>
        <w:t xml:space="preserve"> </w:t>
      </w:r>
      <w:r w:rsidR="00594F61" w:rsidRPr="0077671B">
        <w:t xml:space="preserve">in international equities by removing the portfolios </w:t>
      </w:r>
      <w:proofErr w:type="gramStart"/>
      <w:r w:rsidR="00594F61" w:rsidRPr="0077671B">
        <w:t>overweight’s</w:t>
      </w:r>
      <w:proofErr w:type="gramEnd"/>
      <w:r w:rsidR="00594F61" w:rsidRPr="0077671B">
        <w:t xml:space="preserve"> to growth, while maintaining currency hedging. </w:t>
      </w:r>
      <w:r w:rsidR="0077671B" w:rsidRPr="0077671B">
        <w:t xml:space="preserve">Arrowstreet is a quant manager that can go between growth and value styles with a focus on valuations.  By blending it with State Street, we wish to address the </w:t>
      </w:r>
      <w:r>
        <w:t>concentration of growth within the portfolio.</w:t>
      </w:r>
    </w:p>
    <w:p w14:paraId="66689A53" w14:textId="23B8E666" w:rsidR="00594F61" w:rsidRPr="0077671B" w:rsidRDefault="00594F61" w:rsidP="00594F61">
      <w:r w:rsidRPr="0077671B">
        <w:t xml:space="preserve">Arrowstreet Global Equity Fund is a long-only, benchmark-aware, quantitative equity strategy that invests across global markets. The Fund aims to exploit informational mispricing’s via quantitative models. These models target earnings signals and behavioural mispricing’s such as value or momentum signals. </w:t>
      </w:r>
    </w:p>
    <w:p w14:paraId="3D222FDD" w14:textId="76F62CED" w:rsidR="00594F61" w:rsidRPr="0077671B" w:rsidRDefault="00594F61" w:rsidP="00594F61">
      <w:r w:rsidRPr="0077671B">
        <w:t xml:space="preserve">The role this manager will play in the model is a substitute for Magellan as a manager with the addition of State Street. Arrowstreet is not constrained by style but is simply quantitively managed to minimise excess risk whilst optimising alpha. This means it is style neutral over the long term and will not concentrate style bias within the international equity sleeve over the long term. </w:t>
      </w:r>
    </w:p>
    <w:p w14:paraId="1264779F" w14:textId="37021E30" w:rsidR="00B77D87" w:rsidRDefault="00D30640" w:rsidP="00B77D87">
      <w:pPr>
        <w:rPr>
          <w:b/>
          <w:bCs/>
        </w:rPr>
      </w:pPr>
      <w:r>
        <w:rPr>
          <w:b/>
          <w:bCs/>
        </w:rPr>
        <w:t>Addition of</w:t>
      </w:r>
      <w:r w:rsidR="00B77D87" w:rsidRPr="00B77D87">
        <w:rPr>
          <w:b/>
          <w:bCs/>
        </w:rPr>
        <w:t xml:space="preserve"> State Street Global Equity Fund – SST0050AU</w:t>
      </w:r>
    </w:p>
    <w:p w14:paraId="7479B766" w14:textId="574EC8B9" w:rsidR="00594F61" w:rsidRDefault="00665AD9" w:rsidP="00665AD9">
      <w:pPr>
        <w:pStyle w:val="BodyText"/>
      </w:pPr>
      <w:r>
        <w:t xml:space="preserve">The addition of State Street addresses </w:t>
      </w:r>
      <w:r w:rsidR="005410C4">
        <w:t xml:space="preserve">the </w:t>
      </w:r>
      <w:r>
        <w:t xml:space="preserve">need for a stronger </w:t>
      </w:r>
      <w:r w:rsidR="00594F61">
        <w:t>volatility</w:t>
      </w:r>
      <w:r>
        <w:t xml:space="preserve"> control manager within International Equities. </w:t>
      </w:r>
    </w:p>
    <w:p w14:paraId="685016EF" w14:textId="6D3DCBBC" w:rsidR="00665AD9" w:rsidRDefault="00665AD9" w:rsidP="00665AD9">
      <w:pPr>
        <w:pStyle w:val="BodyText"/>
      </w:pPr>
      <w:r w:rsidRPr="00560902">
        <w:t>State Street Global Equity (SSGE) Fund is an actively managed, long only, benchmark unaware global equity strategy. The Fund is utilised in the Retirement model portfolios and have been effective in managing downside risk in the current economic environment. The Fund systematically targets stock alpha, downside protection and currency management. The Fund has a high-quality repeatable investment process. The Fund has a focus on companies that have growth qualities, good valuations, sustainable cash flows and positive sentiment. This portfolio is highly systematic, and model driven and whilst it is benchmark is unaware, it only uses constituents from the benchmark in the portfolio. A maximum allocation of 1.5% per stock is used to ensure concentration risk is not present within the portfolio.</w:t>
      </w:r>
    </w:p>
    <w:p w14:paraId="5E0C3D9B" w14:textId="6A2DBC8E" w:rsidR="00D30640" w:rsidRPr="00B77D87" w:rsidRDefault="006F24AC" w:rsidP="00B77D87">
      <w:pPr>
        <w:rPr>
          <w:b/>
          <w:bCs/>
        </w:rPr>
      </w:pPr>
      <w:r>
        <w:rPr>
          <w:b/>
          <w:bCs/>
        </w:rPr>
        <w:t xml:space="preserve">Addition </w:t>
      </w:r>
      <w:r w:rsidR="00D30640">
        <w:rPr>
          <w:b/>
          <w:bCs/>
        </w:rPr>
        <w:t xml:space="preserve">GQG Partners Emerging Markets Equity Fund </w:t>
      </w:r>
      <w:r w:rsidRPr="006F24AC">
        <w:rPr>
          <w:b/>
          <w:bCs/>
        </w:rPr>
        <w:t>– A Class – ETL4207AU (or Z Class – ETL4581AU dependent on the platform)</w:t>
      </w:r>
    </w:p>
    <w:bookmarkEnd w:id="2"/>
    <w:bookmarkEnd w:id="3"/>
    <w:p w14:paraId="411BAF9F" w14:textId="690DC09D" w:rsidR="00307A21" w:rsidRDefault="00307A21" w:rsidP="00307A21">
      <w:r>
        <w:t>GQG Emerging Markets Equity Fund is a fundamental long-only active strategy. The Fund has a growth-quality focus on companies whilst maintain</w:t>
      </w:r>
      <w:r w:rsidR="00931966">
        <w:t>ing</w:t>
      </w:r>
      <w:r>
        <w:t xml:space="preserve"> a portfolio of 40-80 companies. The Fund is largely unconstrained and benchmark unaware. The Fund is 75% staff owned and therefore ensures performance is aligned with staff. The management fee for the Fund is 0.96% with no performance fee which is low compared to the wider universe of funds. </w:t>
      </w:r>
    </w:p>
    <w:p w14:paraId="7736BDEF" w14:textId="77777777" w:rsidR="00023CFC" w:rsidRDefault="00931966" w:rsidP="00B77D87">
      <w:r>
        <w:t>An Emerging Market (EM) manager must show the ability to navigate the heightened risks that are associated with EM. The change to GQG better aligns the portfolio with a manager that has been able to show superior ability to navigate this environment. Given that GQG has a lower fee we are better placed with this change.</w:t>
      </w:r>
    </w:p>
    <w:p w14:paraId="1F68562B" w14:textId="5E18C47C" w:rsidR="00B77D87" w:rsidRPr="00B77D87" w:rsidRDefault="00B77D87" w:rsidP="00B77D87">
      <w:pPr>
        <w:rPr>
          <w:u w:val="single"/>
        </w:rPr>
      </w:pPr>
      <w:r w:rsidRPr="00B77D87">
        <w:rPr>
          <w:u w:val="single"/>
        </w:rPr>
        <w:t xml:space="preserve">Fixed Income </w:t>
      </w:r>
      <w:r w:rsidR="008D6E98">
        <w:rPr>
          <w:u w:val="single"/>
        </w:rPr>
        <w:t>– No changes</w:t>
      </w:r>
    </w:p>
    <w:p w14:paraId="302722AB" w14:textId="0FB4059E" w:rsidR="00B77D87" w:rsidRDefault="00B77D87" w:rsidP="00B77D87">
      <w:pPr>
        <w:rPr>
          <w:u w:val="single"/>
        </w:rPr>
      </w:pPr>
      <w:r w:rsidRPr="008D6E98">
        <w:rPr>
          <w:u w:val="single"/>
        </w:rPr>
        <w:t xml:space="preserve">Property and Infrastructure </w:t>
      </w:r>
      <w:r w:rsidR="008D6E98">
        <w:rPr>
          <w:u w:val="single"/>
        </w:rPr>
        <w:t>– No Changes</w:t>
      </w:r>
    </w:p>
    <w:p w14:paraId="14B0DA04" w14:textId="5FA89123" w:rsidR="00F43A30" w:rsidRPr="008D6E98" w:rsidRDefault="00F43A30" w:rsidP="00B77D87">
      <w:pPr>
        <w:rPr>
          <w:u w:val="single"/>
        </w:rPr>
      </w:pPr>
      <w:r>
        <w:rPr>
          <w:u w:val="single"/>
        </w:rPr>
        <w:t>Diversified Alternatives – No Changes</w:t>
      </w:r>
    </w:p>
    <w:p w14:paraId="4847A231" w14:textId="53655C3C" w:rsidR="00C25F92" w:rsidRPr="008D6E98" w:rsidRDefault="00C25F92" w:rsidP="00C25F92">
      <w:pPr>
        <w:rPr>
          <w:u w:val="single"/>
        </w:rPr>
      </w:pPr>
      <w:r w:rsidRPr="008D6E98">
        <w:rPr>
          <w:u w:val="single"/>
        </w:rPr>
        <w:t xml:space="preserve">Cash </w:t>
      </w:r>
      <w:r w:rsidR="008D6E98">
        <w:rPr>
          <w:u w:val="single"/>
        </w:rPr>
        <w:t>– No Changes</w:t>
      </w:r>
    </w:p>
    <w:bookmarkEnd w:id="6"/>
    <w:p w14:paraId="4E0B9F84" w14:textId="729049B4" w:rsidR="00E02554" w:rsidRPr="00B77D87" w:rsidRDefault="002E270A" w:rsidP="00C25F92"/>
    <w:sectPr w:rsidR="00E02554" w:rsidRPr="00B77D87" w:rsidSect="00320509">
      <w:pgSz w:w="11906" w:h="16838" w:code="9"/>
      <w:pgMar w:top="992" w:right="1021" w:bottom="1701" w:left="1021" w:header="284" w:footer="794" w:gutter="0"/>
      <w:cols w:space="708" w:equalWidth="0">
        <w:col w:w="9864"/>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A057F" w14:textId="77777777" w:rsidR="00BA4857" w:rsidRDefault="00BA4857">
      <w:pPr>
        <w:spacing w:before="0" w:line="240" w:lineRule="auto"/>
      </w:pPr>
      <w:r>
        <w:separator/>
      </w:r>
    </w:p>
  </w:endnote>
  <w:endnote w:type="continuationSeparator" w:id="0">
    <w:p w14:paraId="014F974C" w14:textId="77777777" w:rsidR="00BA4857" w:rsidRDefault="00BA485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altName w:val="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06B9C" w14:textId="77777777" w:rsidR="00BA4857" w:rsidRDefault="00BA4857">
      <w:pPr>
        <w:spacing w:before="0" w:line="240" w:lineRule="auto"/>
      </w:pPr>
      <w:r>
        <w:separator/>
      </w:r>
    </w:p>
  </w:footnote>
  <w:footnote w:type="continuationSeparator" w:id="0">
    <w:p w14:paraId="1B5AA98B" w14:textId="77777777" w:rsidR="00BA4857" w:rsidRDefault="00BA485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80813"/>
    <w:multiLevelType w:val="hybridMultilevel"/>
    <w:tmpl w:val="FEAE25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5A97C20"/>
    <w:multiLevelType w:val="multilevel"/>
    <w:tmpl w:val="9546248C"/>
    <w:lvl w:ilvl="0">
      <w:start w:val="1"/>
      <w:numFmt w:val="upperLetter"/>
      <w:pStyle w:val="AppendixHeading1"/>
      <w:lvlText w:val="%1."/>
      <w:lvlJc w:val="left"/>
      <w:pPr>
        <w:ind w:left="425" w:hanging="425"/>
      </w:pPr>
      <w:rPr>
        <w:rFonts w:hint="default"/>
      </w:rPr>
    </w:lvl>
    <w:lvl w:ilvl="1">
      <w:start w:val="1"/>
      <w:numFmt w:val="decimal"/>
      <w:pStyle w:val="AppendixHeading2"/>
      <w:lvlText w:val="%1.%2"/>
      <w:lvlJc w:val="left"/>
      <w:pPr>
        <w:ind w:left="567" w:hanging="567"/>
      </w:pPr>
      <w:rPr>
        <w:rFonts w:hint="default"/>
      </w:rPr>
    </w:lvl>
    <w:lvl w:ilvl="2">
      <w:start w:val="1"/>
      <w:numFmt w:val="decimal"/>
      <w:pStyle w:val="AppendixHeading3"/>
      <w:lvlText w:val="%1.%2.%3"/>
      <w:lvlJc w:val="left"/>
      <w:pPr>
        <w:ind w:left="709" w:hanging="709"/>
      </w:pPr>
      <w:rPr>
        <w:rFonts w:hint="default"/>
      </w:rPr>
    </w:lvl>
    <w:lvl w:ilvl="3">
      <w:start w:val="1"/>
      <w:numFmt w:val="decimal"/>
      <w:pStyle w:val="AppendixHeading4"/>
      <w:lvlText w:val="%1.%2.%3.%4"/>
      <w:lvlJc w:val="left"/>
      <w:pPr>
        <w:ind w:left="851" w:hanging="851"/>
      </w:pPr>
      <w:rPr>
        <w:rFonts w:hint="default"/>
      </w:rPr>
    </w:lvl>
    <w:lvl w:ilvl="4">
      <w:start w:val="1"/>
      <w:numFmt w:val="decimal"/>
      <w:pStyle w:val="AppendixHeading5"/>
      <w:lvlText w:val="%1.%2.%3.%4.%5"/>
      <w:lvlJc w:val="left"/>
      <w:pPr>
        <w:ind w:left="992" w:hanging="992"/>
      </w:pPr>
      <w:rPr>
        <w:rFonts w:hint="default"/>
      </w:rPr>
    </w:lvl>
    <w:lvl w:ilvl="5">
      <w:start w:val="1"/>
      <w:numFmt w:val="decimal"/>
      <w:pStyle w:val="AppendixHeading6"/>
      <w:lvlText w:val="%1.%2.%3.%4.%5.%6"/>
      <w:lvlJc w:val="left"/>
      <w:pPr>
        <w:ind w:left="1134" w:hanging="1134"/>
      </w:pPr>
      <w:rPr>
        <w:rFonts w:hint="default"/>
      </w:rPr>
    </w:lvl>
    <w:lvl w:ilvl="6">
      <w:start w:val="1"/>
      <w:numFmt w:val="lowerLetter"/>
      <w:pStyle w:val="AppendixPara1"/>
      <w:lvlText w:val="%7."/>
      <w:lvlJc w:val="left"/>
      <w:pPr>
        <w:ind w:left="227" w:hanging="227"/>
      </w:pPr>
      <w:rPr>
        <w:rFonts w:hint="default"/>
      </w:rPr>
    </w:lvl>
    <w:lvl w:ilvl="7">
      <w:start w:val="1"/>
      <w:numFmt w:val="lowerRoman"/>
      <w:pStyle w:val="AppendixPara2"/>
      <w:lvlText w:val="%8."/>
      <w:lvlJc w:val="left"/>
      <w:pPr>
        <w:ind w:left="454" w:hanging="227"/>
      </w:pPr>
      <w:rPr>
        <w:rFonts w:hint="default"/>
      </w:rPr>
    </w:lvl>
    <w:lvl w:ilvl="8">
      <w:start w:val="1"/>
      <w:numFmt w:val="upperLetter"/>
      <w:pStyle w:val="AppendixPara3"/>
      <w:lvlText w:val="%9."/>
      <w:lvlJc w:val="left"/>
      <w:pPr>
        <w:ind w:left="680" w:hanging="226"/>
      </w:pPr>
      <w:rPr>
        <w:rFonts w:hint="default"/>
      </w:rPr>
    </w:lvl>
  </w:abstractNum>
  <w:abstractNum w:abstractNumId="2" w15:restartNumberingAfterBreak="0">
    <w:nsid w:val="3CAA0149"/>
    <w:multiLevelType w:val="multilevel"/>
    <w:tmpl w:val="CFE63616"/>
    <w:lvl w:ilvl="0">
      <w:start w:val="1"/>
      <w:numFmt w:val="none"/>
      <w:pStyle w:val="Tablenotesorsource"/>
      <w:suff w:val="nothing"/>
      <w:lvlText w:val="%1"/>
      <w:lvlJc w:val="left"/>
      <w:pPr>
        <w:ind w:left="0" w:firstLine="0"/>
      </w:pPr>
      <w:rPr>
        <w:rFonts w:hint="default"/>
      </w:rPr>
    </w:lvl>
    <w:lvl w:ilvl="1">
      <w:start w:val="1"/>
      <w:numFmt w:val="decimal"/>
      <w:pStyle w:val="Tablenotenumbers"/>
      <w:lvlText w:val="%2."/>
      <w:lvlJc w:val="left"/>
      <w:pPr>
        <w:ind w:left="357" w:hanging="35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51667872"/>
    <w:multiLevelType w:val="hybridMultilevel"/>
    <w:tmpl w:val="B052DAB6"/>
    <w:lvl w:ilvl="0" w:tplc="010A366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F047E28"/>
    <w:multiLevelType w:val="multilevel"/>
    <w:tmpl w:val="6C323E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lowerLetter"/>
      <w:pStyle w:val="Subpara1"/>
      <w:lvlText w:val="%7."/>
      <w:lvlJc w:val="left"/>
      <w:pPr>
        <w:ind w:left="227" w:hanging="227"/>
      </w:pPr>
      <w:rPr>
        <w:rFonts w:hint="default"/>
      </w:rPr>
    </w:lvl>
    <w:lvl w:ilvl="7">
      <w:start w:val="1"/>
      <w:numFmt w:val="lowerRoman"/>
      <w:pStyle w:val="Subpara2"/>
      <w:lvlText w:val="%8."/>
      <w:lvlJc w:val="left"/>
      <w:pPr>
        <w:ind w:left="454" w:hanging="227"/>
      </w:pPr>
      <w:rPr>
        <w:rFonts w:hint="default"/>
      </w:rPr>
    </w:lvl>
    <w:lvl w:ilvl="8">
      <w:start w:val="1"/>
      <w:numFmt w:val="upperLetter"/>
      <w:pStyle w:val="Subpara3"/>
      <w:lvlText w:val="%9."/>
      <w:lvlJc w:val="left"/>
      <w:pPr>
        <w:ind w:left="680" w:hanging="226"/>
      </w:pPr>
      <w:rPr>
        <w:rFonts w:hint="default"/>
      </w:rPr>
    </w:lvl>
  </w:abstractNum>
  <w:num w:numId="1" w16cid:durableId="126707872">
    <w:abstractNumId w:val="4"/>
  </w:num>
  <w:num w:numId="2" w16cid:durableId="2111075533">
    <w:abstractNumId w:val="2"/>
  </w:num>
  <w:num w:numId="3" w16cid:durableId="32467131">
    <w:abstractNumId w:val="4"/>
    <w:lvlOverride w:ilvl="0">
      <w:startOverride w:val="1"/>
    </w:lvlOverride>
  </w:num>
  <w:num w:numId="4" w16cid:durableId="1566989374">
    <w:abstractNumId w:val="3"/>
  </w:num>
  <w:num w:numId="5" w16cid:durableId="908729559">
    <w:abstractNumId w:val="0"/>
  </w:num>
  <w:num w:numId="6" w16cid:durableId="1418483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22"/>
    <w:rsid w:val="00023CFC"/>
    <w:rsid w:val="000C3648"/>
    <w:rsid w:val="0013699C"/>
    <w:rsid w:val="00165A5E"/>
    <w:rsid w:val="001A0D55"/>
    <w:rsid w:val="002A7157"/>
    <w:rsid w:val="002E270A"/>
    <w:rsid w:val="00307A21"/>
    <w:rsid w:val="00487BA6"/>
    <w:rsid w:val="004D0ADE"/>
    <w:rsid w:val="005117D2"/>
    <w:rsid w:val="00521FAA"/>
    <w:rsid w:val="005410C4"/>
    <w:rsid w:val="00594F61"/>
    <w:rsid w:val="005B2871"/>
    <w:rsid w:val="00665AD9"/>
    <w:rsid w:val="00666707"/>
    <w:rsid w:val="006F24AC"/>
    <w:rsid w:val="0077671B"/>
    <w:rsid w:val="00861B22"/>
    <w:rsid w:val="008B7FDB"/>
    <w:rsid w:val="008D6E98"/>
    <w:rsid w:val="00931966"/>
    <w:rsid w:val="009F2C1B"/>
    <w:rsid w:val="00AE699B"/>
    <w:rsid w:val="00B77D87"/>
    <w:rsid w:val="00BA4857"/>
    <w:rsid w:val="00BE0E73"/>
    <w:rsid w:val="00C02B81"/>
    <w:rsid w:val="00C25F92"/>
    <w:rsid w:val="00C57825"/>
    <w:rsid w:val="00CE3EDA"/>
    <w:rsid w:val="00D30640"/>
    <w:rsid w:val="00ED41EF"/>
    <w:rsid w:val="00F37751"/>
    <w:rsid w:val="00F43A30"/>
    <w:rsid w:val="00F7765E"/>
    <w:rsid w:val="00FA727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83431"/>
  <w15:chartTrackingRefBased/>
  <w15:docId w15:val="{A4B31C12-DF62-497F-B15F-624E2DE26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B22"/>
    <w:pPr>
      <w:spacing w:before="160" w:after="0" w:line="312" w:lineRule="auto"/>
    </w:pPr>
    <w:rPr>
      <w:rFonts w:eastAsiaTheme="minorHAnsi"/>
      <w:sz w:val="20"/>
      <w:szCs w:val="18"/>
      <w:lang w:val="en-GB" w:eastAsia="en-US" w:bidi="ar-SA"/>
    </w:rPr>
  </w:style>
  <w:style w:type="paragraph" w:styleId="Heading1">
    <w:name w:val="heading 1"/>
    <w:aliases w:val="Num Heading 1"/>
    <w:basedOn w:val="Normal"/>
    <w:next w:val="Normal"/>
    <w:link w:val="Heading1Char"/>
    <w:uiPriority w:val="1"/>
    <w:qFormat/>
    <w:rsid w:val="00861B22"/>
    <w:pPr>
      <w:keepNext/>
      <w:keepLines/>
      <w:numPr>
        <w:numId w:val="1"/>
      </w:numPr>
      <w:spacing w:before="240" w:line="276" w:lineRule="auto"/>
      <w:outlineLvl w:val="0"/>
    </w:pPr>
    <w:rPr>
      <w:b/>
      <w:caps/>
      <w:color w:val="4472C4" w:themeColor="accent1"/>
      <w:sz w:val="24"/>
      <w:szCs w:val="24"/>
    </w:rPr>
  </w:style>
  <w:style w:type="paragraph" w:styleId="Heading2">
    <w:name w:val="heading 2"/>
    <w:aliases w:val="Num Heading 2"/>
    <w:basedOn w:val="Normal"/>
    <w:next w:val="Normal"/>
    <w:link w:val="Heading2Char"/>
    <w:uiPriority w:val="1"/>
    <w:unhideWhenUsed/>
    <w:qFormat/>
    <w:rsid w:val="00861B22"/>
    <w:pPr>
      <w:keepNext/>
      <w:keepLines/>
      <w:numPr>
        <w:ilvl w:val="1"/>
        <w:numId w:val="1"/>
      </w:numPr>
      <w:spacing w:before="120" w:line="276" w:lineRule="auto"/>
      <w:outlineLvl w:val="1"/>
    </w:pPr>
    <w:rPr>
      <w:b/>
      <w:color w:val="4472C4" w:themeColor="accent1"/>
      <w:sz w:val="22"/>
      <w:szCs w:val="22"/>
    </w:rPr>
  </w:style>
  <w:style w:type="paragraph" w:styleId="Heading3">
    <w:name w:val="heading 3"/>
    <w:aliases w:val="Num Heading 3"/>
    <w:basedOn w:val="Normal"/>
    <w:next w:val="Normal"/>
    <w:link w:val="Heading3Char"/>
    <w:uiPriority w:val="1"/>
    <w:unhideWhenUsed/>
    <w:qFormat/>
    <w:rsid w:val="00861B22"/>
    <w:pPr>
      <w:keepNext/>
      <w:keepLines/>
      <w:numPr>
        <w:ilvl w:val="2"/>
        <w:numId w:val="1"/>
      </w:numPr>
      <w:spacing w:line="276" w:lineRule="auto"/>
      <w:outlineLvl w:val="2"/>
    </w:pPr>
    <w:rPr>
      <w:bCs/>
      <w:color w:val="4472C4" w:themeColor="accent1"/>
      <w:szCs w:val="20"/>
    </w:rPr>
  </w:style>
  <w:style w:type="paragraph" w:styleId="Heading4">
    <w:name w:val="heading 4"/>
    <w:aliases w:val="Num Heading 4"/>
    <w:basedOn w:val="Normal"/>
    <w:next w:val="Normal"/>
    <w:link w:val="Heading4Char"/>
    <w:uiPriority w:val="1"/>
    <w:unhideWhenUsed/>
    <w:qFormat/>
    <w:rsid w:val="00861B22"/>
    <w:pPr>
      <w:keepNext/>
      <w:keepLines/>
      <w:numPr>
        <w:ilvl w:val="3"/>
        <w:numId w:val="1"/>
      </w:numPr>
      <w:spacing w:line="276" w:lineRule="auto"/>
      <w:outlineLvl w:val="3"/>
    </w:pPr>
    <w:rPr>
      <w:bCs/>
      <w:color w:val="E7E6E6" w:themeColor="background2"/>
      <w:szCs w:val="20"/>
    </w:rPr>
  </w:style>
  <w:style w:type="paragraph" w:styleId="Heading5">
    <w:name w:val="heading 5"/>
    <w:aliases w:val="Num Heading 5"/>
    <w:basedOn w:val="Normal"/>
    <w:next w:val="Normal"/>
    <w:link w:val="Heading5Char"/>
    <w:uiPriority w:val="1"/>
    <w:unhideWhenUsed/>
    <w:qFormat/>
    <w:rsid w:val="00861B22"/>
    <w:pPr>
      <w:keepNext/>
      <w:keepLines/>
      <w:numPr>
        <w:ilvl w:val="4"/>
        <w:numId w:val="1"/>
      </w:numPr>
      <w:spacing w:line="276" w:lineRule="auto"/>
      <w:outlineLvl w:val="4"/>
    </w:pPr>
    <w:rPr>
      <w:bCs/>
      <w:color w:val="F0EFEF" w:themeColor="background2" w:themeTint="99"/>
    </w:rPr>
  </w:style>
  <w:style w:type="paragraph" w:styleId="Heading6">
    <w:name w:val="heading 6"/>
    <w:aliases w:val="Num Heading 6"/>
    <w:basedOn w:val="Normal"/>
    <w:next w:val="Normal"/>
    <w:link w:val="Heading6Char"/>
    <w:uiPriority w:val="1"/>
    <w:unhideWhenUsed/>
    <w:qFormat/>
    <w:rsid w:val="00861B22"/>
    <w:pPr>
      <w:keepNext/>
      <w:keepLines/>
      <w:numPr>
        <w:ilvl w:val="5"/>
        <w:numId w:val="1"/>
      </w:numPr>
      <w:spacing w:line="276" w:lineRule="auto"/>
      <w:outlineLvl w:val="5"/>
    </w:pPr>
    <w:rPr>
      <w:bCs/>
      <w:color w:val="70AD47" w:themeColor="accent6"/>
    </w:rPr>
  </w:style>
  <w:style w:type="paragraph" w:styleId="Heading7">
    <w:name w:val="heading 7"/>
    <w:basedOn w:val="Normal"/>
    <w:next w:val="Normal"/>
    <w:link w:val="Heading7Char"/>
    <w:uiPriority w:val="9"/>
    <w:semiHidden/>
    <w:unhideWhenUsed/>
    <w:qFormat/>
    <w:rsid w:val="00861B2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61B2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1B2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 Heading 1 Char"/>
    <w:basedOn w:val="DefaultParagraphFont"/>
    <w:link w:val="Heading1"/>
    <w:uiPriority w:val="1"/>
    <w:rsid w:val="00861B22"/>
    <w:rPr>
      <w:rFonts w:eastAsiaTheme="minorHAnsi"/>
      <w:b/>
      <w:caps/>
      <w:color w:val="4472C4" w:themeColor="accent1"/>
      <w:sz w:val="24"/>
      <w:szCs w:val="24"/>
      <w:lang w:val="en-GB" w:eastAsia="en-US" w:bidi="ar-SA"/>
    </w:rPr>
  </w:style>
  <w:style w:type="character" w:customStyle="1" w:styleId="Heading2Char">
    <w:name w:val="Heading 2 Char"/>
    <w:aliases w:val="Num Heading 2 Char"/>
    <w:basedOn w:val="DefaultParagraphFont"/>
    <w:link w:val="Heading2"/>
    <w:uiPriority w:val="1"/>
    <w:rsid w:val="00861B22"/>
    <w:rPr>
      <w:rFonts w:eastAsiaTheme="minorHAnsi"/>
      <w:b/>
      <w:color w:val="4472C4" w:themeColor="accent1"/>
      <w:szCs w:val="22"/>
      <w:lang w:val="en-GB" w:eastAsia="en-US" w:bidi="ar-SA"/>
    </w:rPr>
  </w:style>
  <w:style w:type="character" w:customStyle="1" w:styleId="Heading3Char">
    <w:name w:val="Heading 3 Char"/>
    <w:aliases w:val="Num Heading 3 Char"/>
    <w:basedOn w:val="DefaultParagraphFont"/>
    <w:link w:val="Heading3"/>
    <w:uiPriority w:val="1"/>
    <w:rsid w:val="00861B22"/>
    <w:rPr>
      <w:rFonts w:eastAsiaTheme="minorHAnsi"/>
      <w:bCs/>
      <w:color w:val="4472C4" w:themeColor="accent1"/>
      <w:sz w:val="20"/>
      <w:szCs w:val="20"/>
      <w:lang w:val="en-GB" w:eastAsia="en-US" w:bidi="ar-SA"/>
    </w:rPr>
  </w:style>
  <w:style w:type="character" w:customStyle="1" w:styleId="Heading4Char">
    <w:name w:val="Heading 4 Char"/>
    <w:aliases w:val="Num Heading 4 Char"/>
    <w:basedOn w:val="DefaultParagraphFont"/>
    <w:link w:val="Heading4"/>
    <w:uiPriority w:val="1"/>
    <w:rsid w:val="00861B22"/>
    <w:rPr>
      <w:rFonts w:eastAsiaTheme="minorHAnsi"/>
      <w:bCs/>
      <w:color w:val="E7E6E6" w:themeColor="background2"/>
      <w:sz w:val="20"/>
      <w:szCs w:val="20"/>
      <w:lang w:val="en-GB" w:eastAsia="en-US" w:bidi="ar-SA"/>
    </w:rPr>
  </w:style>
  <w:style w:type="character" w:customStyle="1" w:styleId="Heading5Char">
    <w:name w:val="Heading 5 Char"/>
    <w:aliases w:val="Num Heading 5 Char"/>
    <w:basedOn w:val="DefaultParagraphFont"/>
    <w:link w:val="Heading5"/>
    <w:uiPriority w:val="1"/>
    <w:rsid w:val="00861B22"/>
    <w:rPr>
      <w:rFonts w:eastAsiaTheme="minorHAnsi"/>
      <w:bCs/>
      <w:color w:val="F0EFEF" w:themeColor="background2" w:themeTint="99"/>
      <w:sz w:val="20"/>
      <w:szCs w:val="18"/>
      <w:lang w:val="en-GB" w:eastAsia="en-US" w:bidi="ar-SA"/>
    </w:rPr>
  </w:style>
  <w:style w:type="character" w:customStyle="1" w:styleId="Heading6Char">
    <w:name w:val="Heading 6 Char"/>
    <w:aliases w:val="Num Heading 6 Char"/>
    <w:basedOn w:val="DefaultParagraphFont"/>
    <w:link w:val="Heading6"/>
    <w:uiPriority w:val="1"/>
    <w:rsid w:val="00861B22"/>
    <w:rPr>
      <w:rFonts w:eastAsiaTheme="minorHAnsi"/>
      <w:bCs/>
      <w:color w:val="70AD47" w:themeColor="accent6"/>
      <w:sz w:val="20"/>
      <w:szCs w:val="18"/>
      <w:lang w:val="en-GB" w:eastAsia="en-US" w:bidi="ar-SA"/>
    </w:rPr>
  </w:style>
  <w:style w:type="paragraph" w:styleId="Header">
    <w:name w:val="header"/>
    <w:basedOn w:val="Normal"/>
    <w:link w:val="HeaderChar"/>
    <w:uiPriority w:val="99"/>
    <w:unhideWhenUsed/>
    <w:rsid w:val="00861B22"/>
    <w:pPr>
      <w:tabs>
        <w:tab w:val="center" w:pos="4513"/>
        <w:tab w:val="right" w:pos="9026"/>
      </w:tabs>
      <w:spacing w:line="240" w:lineRule="auto"/>
    </w:pPr>
  </w:style>
  <w:style w:type="character" w:customStyle="1" w:styleId="HeaderChar">
    <w:name w:val="Header Char"/>
    <w:basedOn w:val="DefaultParagraphFont"/>
    <w:link w:val="Header"/>
    <w:uiPriority w:val="99"/>
    <w:rsid w:val="00861B22"/>
    <w:rPr>
      <w:rFonts w:eastAsiaTheme="minorHAnsi"/>
      <w:sz w:val="20"/>
      <w:szCs w:val="18"/>
      <w:lang w:val="en-GB" w:eastAsia="en-US" w:bidi="ar-SA"/>
    </w:rPr>
  </w:style>
  <w:style w:type="paragraph" w:customStyle="1" w:styleId="Subpara1">
    <w:name w:val="Subpara 1"/>
    <w:basedOn w:val="Heading7"/>
    <w:next w:val="Normal"/>
    <w:uiPriority w:val="1"/>
    <w:qFormat/>
    <w:rsid w:val="00861B22"/>
    <w:pPr>
      <w:keepNext w:val="0"/>
      <w:keepLines w:val="0"/>
      <w:numPr>
        <w:ilvl w:val="6"/>
        <w:numId w:val="1"/>
      </w:numPr>
      <w:tabs>
        <w:tab w:val="num" w:pos="360"/>
      </w:tabs>
      <w:spacing w:before="160"/>
      <w:ind w:left="0" w:firstLine="0"/>
      <w:contextualSpacing/>
    </w:pPr>
    <w:rPr>
      <w:rFonts w:asciiTheme="minorHAnsi" w:eastAsiaTheme="minorHAnsi" w:hAnsiTheme="minorHAnsi" w:cstheme="minorBidi"/>
      <w:i w:val="0"/>
      <w:iCs w:val="0"/>
      <w:color w:val="385623" w:themeColor="accent6" w:themeShade="80"/>
    </w:rPr>
  </w:style>
  <w:style w:type="paragraph" w:customStyle="1" w:styleId="Subpara2">
    <w:name w:val="Subpara 2"/>
    <w:basedOn w:val="Heading8"/>
    <w:next w:val="Normal"/>
    <w:uiPriority w:val="1"/>
    <w:qFormat/>
    <w:rsid w:val="00861B22"/>
    <w:pPr>
      <w:keepNext w:val="0"/>
      <w:keepLines w:val="0"/>
      <w:numPr>
        <w:ilvl w:val="7"/>
        <w:numId w:val="1"/>
      </w:numPr>
      <w:tabs>
        <w:tab w:val="num" w:pos="360"/>
      </w:tabs>
      <w:spacing w:before="160"/>
      <w:ind w:left="0" w:firstLine="0"/>
      <w:contextualSpacing/>
    </w:pPr>
    <w:rPr>
      <w:rFonts w:asciiTheme="minorHAnsi" w:eastAsiaTheme="minorHAnsi" w:hAnsiTheme="minorHAnsi" w:cstheme="minorBidi"/>
      <w:color w:val="385623" w:themeColor="accent6" w:themeShade="80"/>
      <w:sz w:val="20"/>
      <w:szCs w:val="18"/>
    </w:rPr>
  </w:style>
  <w:style w:type="paragraph" w:customStyle="1" w:styleId="Subpara3">
    <w:name w:val="Subpara 3"/>
    <w:basedOn w:val="Heading9"/>
    <w:next w:val="Normal"/>
    <w:uiPriority w:val="1"/>
    <w:qFormat/>
    <w:rsid w:val="00861B22"/>
    <w:pPr>
      <w:keepNext w:val="0"/>
      <w:keepLines w:val="0"/>
      <w:numPr>
        <w:ilvl w:val="8"/>
        <w:numId w:val="1"/>
      </w:numPr>
      <w:tabs>
        <w:tab w:val="num" w:pos="360"/>
      </w:tabs>
      <w:spacing w:before="160"/>
      <w:ind w:left="0" w:firstLine="0"/>
      <w:contextualSpacing/>
    </w:pPr>
    <w:rPr>
      <w:rFonts w:asciiTheme="minorHAnsi" w:eastAsiaTheme="minorHAnsi" w:hAnsiTheme="minorHAnsi" w:cstheme="minorBidi"/>
      <w:i w:val="0"/>
      <w:iCs w:val="0"/>
      <w:color w:val="385623" w:themeColor="accent6" w:themeShade="80"/>
      <w:sz w:val="20"/>
      <w:szCs w:val="18"/>
    </w:rPr>
  </w:style>
  <w:style w:type="paragraph" w:customStyle="1" w:styleId="Tablenotesorsource">
    <w:name w:val="Table notes or source"/>
    <w:basedOn w:val="BodyText"/>
    <w:qFormat/>
    <w:rsid w:val="00861B22"/>
    <w:pPr>
      <w:numPr>
        <w:numId w:val="2"/>
      </w:numPr>
      <w:tabs>
        <w:tab w:val="num" w:pos="360"/>
      </w:tabs>
      <w:spacing w:after="0"/>
    </w:pPr>
    <w:rPr>
      <w:color w:val="385623" w:themeColor="accent6" w:themeShade="80"/>
      <w:sz w:val="16"/>
      <w:szCs w:val="16"/>
    </w:rPr>
  </w:style>
  <w:style w:type="paragraph" w:customStyle="1" w:styleId="Tablenotenumbers">
    <w:name w:val="Table note numbers"/>
    <w:basedOn w:val="BodyText"/>
    <w:qFormat/>
    <w:rsid w:val="00861B22"/>
    <w:pPr>
      <w:numPr>
        <w:ilvl w:val="1"/>
        <w:numId w:val="2"/>
      </w:numPr>
      <w:tabs>
        <w:tab w:val="num" w:pos="360"/>
      </w:tabs>
      <w:spacing w:before="40" w:after="40"/>
      <w:ind w:left="0" w:firstLine="0"/>
    </w:pPr>
    <w:rPr>
      <w:color w:val="385623" w:themeColor="accent6" w:themeShade="80"/>
      <w:sz w:val="16"/>
      <w:szCs w:val="16"/>
    </w:rPr>
  </w:style>
  <w:style w:type="character" w:customStyle="1" w:styleId="Heading7Char">
    <w:name w:val="Heading 7 Char"/>
    <w:basedOn w:val="DefaultParagraphFont"/>
    <w:link w:val="Heading7"/>
    <w:uiPriority w:val="9"/>
    <w:semiHidden/>
    <w:rsid w:val="00861B22"/>
    <w:rPr>
      <w:rFonts w:asciiTheme="majorHAnsi" w:eastAsiaTheme="majorEastAsia" w:hAnsiTheme="majorHAnsi" w:cstheme="majorBidi"/>
      <w:i/>
      <w:iCs/>
      <w:color w:val="1F3763" w:themeColor="accent1" w:themeShade="7F"/>
      <w:sz w:val="20"/>
      <w:szCs w:val="18"/>
      <w:lang w:val="en-GB" w:eastAsia="en-US" w:bidi="ar-SA"/>
    </w:rPr>
  </w:style>
  <w:style w:type="character" w:customStyle="1" w:styleId="Heading8Char">
    <w:name w:val="Heading 8 Char"/>
    <w:basedOn w:val="DefaultParagraphFont"/>
    <w:link w:val="Heading8"/>
    <w:uiPriority w:val="9"/>
    <w:semiHidden/>
    <w:rsid w:val="00861B22"/>
    <w:rPr>
      <w:rFonts w:asciiTheme="majorHAnsi" w:eastAsiaTheme="majorEastAsia" w:hAnsiTheme="majorHAnsi" w:cstheme="majorBidi"/>
      <w:color w:val="272727" w:themeColor="text1" w:themeTint="D8"/>
      <w:sz w:val="21"/>
      <w:szCs w:val="21"/>
      <w:lang w:val="en-GB" w:eastAsia="en-US" w:bidi="ar-SA"/>
    </w:rPr>
  </w:style>
  <w:style w:type="character" w:customStyle="1" w:styleId="Heading9Char">
    <w:name w:val="Heading 9 Char"/>
    <w:basedOn w:val="DefaultParagraphFont"/>
    <w:link w:val="Heading9"/>
    <w:uiPriority w:val="9"/>
    <w:semiHidden/>
    <w:rsid w:val="00861B22"/>
    <w:rPr>
      <w:rFonts w:asciiTheme="majorHAnsi" w:eastAsiaTheme="majorEastAsia" w:hAnsiTheme="majorHAnsi" w:cstheme="majorBidi"/>
      <w:i/>
      <w:iCs/>
      <w:color w:val="272727" w:themeColor="text1" w:themeTint="D8"/>
      <w:sz w:val="21"/>
      <w:szCs w:val="21"/>
      <w:lang w:val="en-GB" w:eastAsia="en-US" w:bidi="ar-SA"/>
    </w:rPr>
  </w:style>
  <w:style w:type="paragraph" w:styleId="BodyText">
    <w:name w:val="Body Text"/>
    <w:basedOn w:val="Normal"/>
    <w:link w:val="BodyTextChar"/>
    <w:uiPriority w:val="99"/>
    <w:unhideWhenUsed/>
    <w:rsid w:val="00861B22"/>
    <w:pPr>
      <w:spacing w:after="120"/>
    </w:pPr>
  </w:style>
  <w:style w:type="character" w:customStyle="1" w:styleId="BodyTextChar">
    <w:name w:val="Body Text Char"/>
    <w:basedOn w:val="DefaultParagraphFont"/>
    <w:link w:val="BodyText"/>
    <w:uiPriority w:val="99"/>
    <w:rsid w:val="00861B22"/>
    <w:rPr>
      <w:rFonts w:eastAsiaTheme="minorHAnsi"/>
      <w:sz w:val="20"/>
      <w:szCs w:val="18"/>
      <w:lang w:val="en-GB" w:eastAsia="en-US" w:bidi="ar-SA"/>
    </w:rPr>
  </w:style>
  <w:style w:type="paragraph" w:styleId="Footer">
    <w:name w:val="footer"/>
    <w:basedOn w:val="Normal"/>
    <w:link w:val="FooterChar"/>
    <w:uiPriority w:val="99"/>
    <w:unhideWhenUsed/>
    <w:rsid w:val="00B77D87"/>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77D87"/>
    <w:rPr>
      <w:rFonts w:eastAsiaTheme="minorHAnsi"/>
      <w:sz w:val="20"/>
      <w:szCs w:val="18"/>
      <w:lang w:val="en-GB" w:eastAsia="en-US" w:bidi="ar-SA"/>
    </w:rPr>
  </w:style>
  <w:style w:type="paragraph" w:customStyle="1" w:styleId="AppendixHeading1">
    <w:name w:val="Appendix Heading 1"/>
    <w:basedOn w:val="Normal"/>
    <w:uiPriority w:val="2"/>
    <w:qFormat/>
    <w:rsid w:val="00B77D87"/>
    <w:pPr>
      <w:keepNext/>
      <w:keepLines/>
      <w:numPr>
        <w:numId w:val="6"/>
      </w:numPr>
      <w:spacing w:before="240" w:line="276" w:lineRule="auto"/>
      <w:outlineLvl w:val="0"/>
    </w:pPr>
    <w:rPr>
      <w:b/>
      <w:caps/>
      <w:color w:val="4472C4" w:themeColor="accent1"/>
      <w:sz w:val="24"/>
      <w:szCs w:val="24"/>
    </w:rPr>
  </w:style>
  <w:style w:type="paragraph" w:customStyle="1" w:styleId="AppendixHeading2">
    <w:name w:val="Appendix Heading 2"/>
    <w:basedOn w:val="Normal"/>
    <w:uiPriority w:val="2"/>
    <w:qFormat/>
    <w:rsid w:val="00B77D87"/>
    <w:pPr>
      <w:keepNext/>
      <w:keepLines/>
      <w:numPr>
        <w:ilvl w:val="1"/>
        <w:numId w:val="6"/>
      </w:numPr>
      <w:spacing w:before="120" w:line="276" w:lineRule="auto"/>
      <w:outlineLvl w:val="1"/>
    </w:pPr>
    <w:rPr>
      <w:b/>
      <w:color w:val="4472C4" w:themeColor="accent1"/>
      <w:sz w:val="22"/>
      <w:szCs w:val="22"/>
    </w:rPr>
  </w:style>
  <w:style w:type="paragraph" w:customStyle="1" w:styleId="AppendixHeading3">
    <w:name w:val="Appendix Heading 3"/>
    <w:basedOn w:val="Normal"/>
    <w:uiPriority w:val="2"/>
    <w:qFormat/>
    <w:rsid w:val="00B77D87"/>
    <w:pPr>
      <w:keepNext/>
      <w:keepLines/>
      <w:numPr>
        <w:ilvl w:val="2"/>
        <w:numId w:val="6"/>
      </w:numPr>
      <w:spacing w:line="276" w:lineRule="auto"/>
      <w:outlineLvl w:val="2"/>
    </w:pPr>
    <w:rPr>
      <w:bCs/>
      <w:color w:val="4472C4" w:themeColor="accent1"/>
      <w:szCs w:val="20"/>
    </w:rPr>
  </w:style>
  <w:style w:type="paragraph" w:customStyle="1" w:styleId="AppendixHeading4">
    <w:name w:val="Appendix Heading 4"/>
    <w:basedOn w:val="Normal"/>
    <w:uiPriority w:val="2"/>
    <w:qFormat/>
    <w:rsid w:val="00B77D87"/>
    <w:pPr>
      <w:keepNext/>
      <w:keepLines/>
      <w:numPr>
        <w:ilvl w:val="3"/>
        <w:numId w:val="6"/>
      </w:numPr>
      <w:spacing w:line="276" w:lineRule="auto"/>
      <w:outlineLvl w:val="3"/>
    </w:pPr>
    <w:rPr>
      <w:bCs/>
      <w:color w:val="E7E6E6" w:themeColor="background2"/>
      <w:szCs w:val="20"/>
    </w:rPr>
  </w:style>
  <w:style w:type="paragraph" w:customStyle="1" w:styleId="AppendixHeading5">
    <w:name w:val="Appendix Heading 5"/>
    <w:basedOn w:val="Normal"/>
    <w:uiPriority w:val="2"/>
    <w:qFormat/>
    <w:rsid w:val="00B77D87"/>
    <w:pPr>
      <w:keepNext/>
      <w:keepLines/>
      <w:numPr>
        <w:ilvl w:val="4"/>
        <w:numId w:val="6"/>
      </w:numPr>
      <w:spacing w:line="276" w:lineRule="auto"/>
      <w:outlineLvl w:val="4"/>
    </w:pPr>
    <w:rPr>
      <w:bCs/>
      <w:color w:val="F0EFEF" w:themeColor="background2" w:themeTint="99"/>
    </w:rPr>
  </w:style>
  <w:style w:type="paragraph" w:customStyle="1" w:styleId="AppendixHeading6">
    <w:name w:val="Appendix Heading 6"/>
    <w:basedOn w:val="Normal"/>
    <w:uiPriority w:val="2"/>
    <w:qFormat/>
    <w:rsid w:val="00B77D87"/>
    <w:pPr>
      <w:keepNext/>
      <w:keepLines/>
      <w:numPr>
        <w:ilvl w:val="5"/>
        <w:numId w:val="6"/>
      </w:numPr>
      <w:spacing w:line="276" w:lineRule="auto"/>
      <w:outlineLvl w:val="5"/>
    </w:pPr>
    <w:rPr>
      <w:bCs/>
      <w:color w:val="70AD47" w:themeColor="accent6"/>
    </w:rPr>
  </w:style>
  <w:style w:type="paragraph" w:customStyle="1" w:styleId="AppendixPara1">
    <w:name w:val="Appendix Para 1"/>
    <w:basedOn w:val="Normal"/>
    <w:uiPriority w:val="2"/>
    <w:qFormat/>
    <w:rsid w:val="00B77D87"/>
    <w:pPr>
      <w:numPr>
        <w:ilvl w:val="6"/>
        <w:numId w:val="6"/>
      </w:numPr>
      <w:contextualSpacing/>
    </w:pPr>
    <w:rPr>
      <w:color w:val="385623" w:themeColor="accent6" w:themeShade="80"/>
    </w:rPr>
  </w:style>
  <w:style w:type="paragraph" w:customStyle="1" w:styleId="AppendixPara2">
    <w:name w:val="Appendix Para 2"/>
    <w:basedOn w:val="Normal"/>
    <w:uiPriority w:val="2"/>
    <w:qFormat/>
    <w:rsid w:val="00B77D87"/>
    <w:pPr>
      <w:numPr>
        <w:ilvl w:val="7"/>
        <w:numId w:val="6"/>
      </w:numPr>
      <w:contextualSpacing/>
    </w:pPr>
    <w:rPr>
      <w:color w:val="385623" w:themeColor="accent6" w:themeShade="80"/>
    </w:rPr>
  </w:style>
  <w:style w:type="paragraph" w:customStyle="1" w:styleId="AppendixPara3">
    <w:name w:val="Appendix Para 3"/>
    <w:basedOn w:val="Normal"/>
    <w:uiPriority w:val="2"/>
    <w:qFormat/>
    <w:rsid w:val="00B77D87"/>
    <w:pPr>
      <w:numPr>
        <w:ilvl w:val="8"/>
        <w:numId w:val="6"/>
      </w:numPr>
      <w:contextualSpacing/>
    </w:pPr>
    <w:rPr>
      <w:color w:val="385623" w:themeColor="accent6" w:themeShade="80"/>
    </w:rPr>
  </w:style>
  <w:style w:type="paragraph" w:styleId="Revision">
    <w:name w:val="Revision"/>
    <w:hidden/>
    <w:uiPriority w:val="99"/>
    <w:semiHidden/>
    <w:rsid w:val="001A0D55"/>
    <w:pPr>
      <w:spacing w:after="0" w:line="240" w:lineRule="auto"/>
    </w:pPr>
    <w:rPr>
      <w:rFonts w:eastAsiaTheme="minorHAnsi"/>
      <w:sz w:val="20"/>
      <w:szCs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 Bull</dc:creator>
  <cp:keywords/>
  <dc:description/>
  <cp:lastModifiedBy>Daniel Stojanovski</cp:lastModifiedBy>
  <cp:revision>3</cp:revision>
  <dcterms:created xsi:type="dcterms:W3CDTF">2022-07-05T06:30:00Z</dcterms:created>
  <dcterms:modified xsi:type="dcterms:W3CDTF">2022-07-05T06:43:00Z</dcterms:modified>
</cp:coreProperties>
</file>