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4924315" w:displacedByCustomXml="next"/>
    <w:bookmarkStart w:id="1" w:name="_Hlk102722733" w:displacedByCustomXml="next"/>
    <w:bookmarkStart w:id="2" w:name="_Hlk36461553" w:displacedByCustomXml="next"/>
    <w:sdt>
      <w:sdtPr>
        <w:rPr>
          <w:sz w:val="44"/>
          <w:szCs w:val="44"/>
        </w:rPr>
        <w:alias w:val="Title"/>
        <w:tag w:val=""/>
        <w:id w:val="-702250857"/>
        <w:placeholder>
          <w:docPart w:val="0F3CC21ACF6E4E99B52AC27508EFA7F4"/>
        </w:placeholder>
        <w:dataBinding w:prefixMappings="xmlns:ns0='http://purl.org/dc/elements/1.1/' xmlns:ns1='http://schemas.openxmlformats.org/package/2006/metadata/core-properties' " w:xpath="/ns1:coreProperties[1]/ns0:title[1]" w:storeItemID="{6C3C8BC8-F283-45AE-878A-BAB7291924A1}"/>
        <w:text/>
      </w:sdtPr>
      <w:sdtEndPr/>
      <w:sdtContent>
        <w:p w14:paraId="463159A9" w14:textId="00BA57EA" w:rsidR="005D073E" w:rsidRPr="00E555A7" w:rsidRDefault="00BD5AC8" w:rsidP="005D073E">
          <w:pPr>
            <w:pStyle w:val="Title"/>
            <w:rPr>
              <w:sz w:val="44"/>
              <w:szCs w:val="44"/>
            </w:rPr>
          </w:pPr>
          <w:r w:rsidRPr="00E555A7">
            <w:rPr>
              <w:sz w:val="44"/>
              <w:szCs w:val="44"/>
            </w:rPr>
            <w:t>Understanding the recent market volatility</w:t>
          </w:r>
        </w:p>
      </w:sdtContent>
    </w:sdt>
    <w:p w14:paraId="15D9B630" w14:textId="646DBE20" w:rsidR="00BD5AC8" w:rsidRDefault="00E555A7" w:rsidP="00BD5AC8">
      <w:pPr>
        <w:pStyle w:val="Heading1"/>
        <w:numPr>
          <w:ilvl w:val="0"/>
          <w:numId w:val="0"/>
        </w:numPr>
        <w:ind w:left="432"/>
      </w:pPr>
      <w:r>
        <w:t>May 2022</w:t>
      </w:r>
    </w:p>
    <w:bookmarkEnd w:id="0"/>
    <w:p w14:paraId="17F3087E" w14:textId="452655EF" w:rsidR="00B449F0" w:rsidRDefault="00BD5AC8" w:rsidP="00C67F5F">
      <w:pPr>
        <w:pStyle w:val="Heading1"/>
      </w:pPr>
      <w:r>
        <w:t>Interest Rate</w:t>
      </w:r>
      <w:r w:rsidR="00EB77FD">
        <w:t xml:space="preserve"> and Inflation</w:t>
      </w:r>
      <w:r>
        <w:t xml:space="preserve"> expectations Keep Shifting Upwards</w:t>
      </w:r>
    </w:p>
    <w:p w14:paraId="09AE6D01" w14:textId="41B5B6A5" w:rsidR="00BD5AC8" w:rsidRPr="008F408E" w:rsidRDefault="004F5F69" w:rsidP="00BD5AC8">
      <w:pPr>
        <w:rPr>
          <w:color w:val="5B5D62" w:themeColor="accent6" w:themeShade="80"/>
        </w:rPr>
      </w:pPr>
      <w:r w:rsidRPr="008F408E">
        <w:rPr>
          <w:noProof/>
          <w:color w:val="5B5D62" w:themeColor="accent6" w:themeShade="80"/>
        </w:rPr>
        <w:drawing>
          <wp:anchor distT="0" distB="0" distL="114300" distR="114300" simplePos="0" relativeHeight="251658240" behindDoc="0" locked="0" layoutInCell="1" allowOverlap="1" wp14:anchorId="75D9F5DB" wp14:editId="183C97E5">
            <wp:simplePos x="0" y="0"/>
            <wp:positionH relativeFrom="column">
              <wp:posOffset>2594610</wp:posOffset>
            </wp:positionH>
            <wp:positionV relativeFrom="paragraph">
              <wp:posOffset>228600</wp:posOffset>
            </wp:positionV>
            <wp:extent cx="4203700" cy="3152775"/>
            <wp:effectExtent l="0" t="0" r="6350" b="9525"/>
            <wp:wrapSquare wrapText="bothSides"/>
            <wp:docPr id="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a:blip r:embed="rId11"/>
                    <a:stretch>
                      <a:fillRect/>
                    </a:stretch>
                  </pic:blipFill>
                  <pic:spPr>
                    <a:xfrm>
                      <a:off x="0" y="0"/>
                      <a:ext cx="4203700" cy="3152775"/>
                    </a:xfrm>
                    <a:prstGeom prst="rect">
                      <a:avLst/>
                    </a:prstGeom>
                  </pic:spPr>
                </pic:pic>
              </a:graphicData>
            </a:graphic>
            <wp14:sizeRelH relativeFrom="margin">
              <wp14:pctWidth>0</wp14:pctWidth>
            </wp14:sizeRelH>
            <wp14:sizeRelV relativeFrom="margin">
              <wp14:pctHeight>0</wp14:pctHeight>
            </wp14:sizeRelV>
          </wp:anchor>
        </w:drawing>
      </w:r>
      <w:r w:rsidR="003830CC" w:rsidRPr="008F408E">
        <w:rPr>
          <w:color w:val="5B5D62" w:themeColor="accent6" w:themeShade="80"/>
        </w:rPr>
        <w:t>Since our last quarterly</w:t>
      </w:r>
      <w:r w:rsidR="004B1AEF" w:rsidRPr="008F408E">
        <w:rPr>
          <w:color w:val="5B5D62" w:themeColor="accent6" w:themeShade="80"/>
        </w:rPr>
        <w:t xml:space="preserve"> update</w:t>
      </w:r>
      <w:r w:rsidR="003830CC" w:rsidRPr="008F408E">
        <w:rPr>
          <w:color w:val="5B5D62" w:themeColor="accent6" w:themeShade="80"/>
        </w:rPr>
        <w:t xml:space="preserve">, interest rates have continued to </w:t>
      </w:r>
      <w:r w:rsidR="009357EB" w:rsidRPr="008F408E">
        <w:rPr>
          <w:color w:val="5B5D62" w:themeColor="accent6" w:themeShade="80"/>
        </w:rPr>
        <w:t>move higher on both the long and the short end</w:t>
      </w:r>
      <w:r w:rsidR="003830CC" w:rsidRPr="008F408E">
        <w:rPr>
          <w:color w:val="5B5D62" w:themeColor="accent6" w:themeShade="80"/>
        </w:rPr>
        <w:t>. With inflation finally showing its head in the last Australian CPI print, Australian bonds (as well as international bonds) have had yields increase significantly.</w:t>
      </w:r>
      <w:r w:rsidR="00E043D6" w:rsidRPr="008F408E">
        <w:rPr>
          <w:color w:val="5B5D62" w:themeColor="accent6" w:themeShade="80"/>
        </w:rPr>
        <w:t xml:space="preserve"> </w:t>
      </w:r>
    </w:p>
    <w:p w14:paraId="67732FFA" w14:textId="66969F32" w:rsidR="00F46386" w:rsidRPr="008F408E" w:rsidRDefault="004B1AEF" w:rsidP="00BD5AC8">
      <w:pPr>
        <w:rPr>
          <w:color w:val="5B5D62" w:themeColor="accent6" w:themeShade="80"/>
        </w:rPr>
      </w:pPr>
      <w:r w:rsidRPr="008F408E">
        <w:rPr>
          <w:color w:val="5B5D62" w:themeColor="accent6" w:themeShade="80"/>
        </w:rPr>
        <w:t>The RBA</w:t>
      </w:r>
      <w:r w:rsidR="003E7684">
        <w:rPr>
          <w:color w:val="5B5D62" w:themeColor="accent6" w:themeShade="80"/>
        </w:rPr>
        <w:t xml:space="preserve"> (Reserve Bank of Australia)</w:t>
      </w:r>
      <w:r w:rsidRPr="008F408E">
        <w:rPr>
          <w:color w:val="5B5D62" w:themeColor="accent6" w:themeShade="80"/>
        </w:rPr>
        <w:t xml:space="preserve"> has changed their view that interest rates needed to remain extremely accommodative until 2024 as the Australian economy has shown strength via the unemployment and GDP numbers. This is combined with the inflation numbers in the Australian economy not only increasing to a 21-year high but increasing across broad areas of the CPI basket</w:t>
      </w:r>
      <w:r w:rsidR="00F46386" w:rsidRPr="008F408E">
        <w:rPr>
          <w:color w:val="5B5D62" w:themeColor="accent6" w:themeShade="80"/>
        </w:rPr>
        <w:t xml:space="preserve"> and above expectations of the RBA.</w:t>
      </w:r>
    </w:p>
    <w:p w14:paraId="45749319" w14:textId="699C9BD3" w:rsidR="008F408E" w:rsidRDefault="004B1AEF" w:rsidP="00BD5AC8">
      <w:pPr>
        <w:rPr>
          <w:color w:val="5B5D62" w:themeColor="accent6" w:themeShade="80"/>
        </w:rPr>
      </w:pPr>
      <w:r w:rsidRPr="008F408E">
        <w:rPr>
          <w:color w:val="5B5D62" w:themeColor="accent6" w:themeShade="80"/>
          <w:u w:val="single"/>
        </w:rPr>
        <w:t>Th</w:t>
      </w:r>
      <w:r w:rsidR="00F46386" w:rsidRPr="008F408E">
        <w:rPr>
          <w:color w:val="5B5D62" w:themeColor="accent6" w:themeShade="80"/>
          <w:u w:val="single"/>
        </w:rPr>
        <w:t>is has resulted in the</w:t>
      </w:r>
      <w:r w:rsidRPr="008F408E">
        <w:rPr>
          <w:color w:val="5B5D62" w:themeColor="accent6" w:themeShade="80"/>
          <w:u w:val="single"/>
        </w:rPr>
        <w:t xml:space="preserve"> RBA</w:t>
      </w:r>
      <w:r w:rsidR="00F46386" w:rsidRPr="008F408E">
        <w:rPr>
          <w:color w:val="5B5D62" w:themeColor="accent6" w:themeShade="80"/>
          <w:u w:val="single"/>
        </w:rPr>
        <w:t xml:space="preserve">, </w:t>
      </w:r>
      <w:r w:rsidRPr="008F408E">
        <w:rPr>
          <w:color w:val="5B5D62" w:themeColor="accent6" w:themeShade="80"/>
          <w:u w:val="single"/>
        </w:rPr>
        <w:t>for the first time in 11 years increas</w:t>
      </w:r>
      <w:r w:rsidR="00F46386" w:rsidRPr="008F408E">
        <w:rPr>
          <w:color w:val="5B5D62" w:themeColor="accent6" w:themeShade="80"/>
          <w:u w:val="single"/>
        </w:rPr>
        <w:t>ing</w:t>
      </w:r>
      <w:r w:rsidRPr="008F408E">
        <w:rPr>
          <w:color w:val="5B5D62" w:themeColor="accent6" w:themeShade="80"/>
          <w:u w:val="single"/>
        </w:rPr>
        <w:t xml:space="preserve"> the Cash Rate by 0.25%</w:t>
      </w:r>
      <w:r w:rsidRPr="008F408E">
        <w:rPr>
          <w:color w:val="5B5D62" w:themeColor="accent6" w:themeShade="80"/>
        </w:rPr>
        <w:t xml:space="preserve">. It now sits at 0.35%, up from 0.1%. </w:t>
      </w:r>
      <w:r w:rsidR="006E109D" w:rsidRPr="008F408E">
        <w:rPr>
          <w:color w:val="5B5D62" w:themeColor="accent6" w:themeShade="80"/>
        </w:rPr>
        <w:t xml:space="preserve">The RBA has also indicated that they will start decreasing their balance sheet simultaneously with </w:t>
      </w:r>
      <w:r w:rsidR="002B6D96">
        <w:rPr>
          <w:color w:val="5B5D62" w:themeColor="accent6" w:themeShade="80"/>
        </w:rPr>
        <w:t>most of</w:t>
      </w:r>
      <w:r w:rsidR="006E109D" w:rsidRPr="008F408E">
        <w:rPr>
          <w:color w:val="5B5D62" w:themeColor="accent6" w:themeShade="80"/>
        </w:rPr>
        <w:t xml:space="preserve"> this tightening occurring in 2023 and 2024. </w:t>
      </w:r>
    </w:p>
    <w:p w14:paraId="47D371B2" w14:textId="7118DB7F" w:rsidR="00EB77FD" w:rsidRDefault="008F408E" w:rsidP="00BD5AC8">
      <w:pPr>
        <w:rPr>
          <w:color w:val="5B5D62" w:themeColor="accent6" w:themeShade="80"/>
        </w:rPr>
      </w:pPr>
      <w:r>
        <w:rPr>
          <w:noProof/>
        </w:rPr>
        <w:drawing>
          <wp:anchor distT="0" distB="0" distL="114300" distR="114300" simplePos="0" relativeHeight="251660288" behindDoc="0" locked="0" layoutInCell="1" allowOverlap="1" wp14:anchorId="20800128" wp14:editId="1AE66F59">
            <wp:simplePos x="0" y="0"/>
            <wp:positionH relativeFrom="column">
              <wp:posOffset>2694305</wp:posOffset>
            </wp:positionH>
            <wp:positionV relativeFrom="paragraph">
              <wp:posOffset>89535</wp:posOffset>
            </wp:positionV>
            <wp:extent cx="3980180" cy="2985770"/>
            <wp:effectExtent l="0" t="0" r="1270" b="5080"/>
            <wp:wrapSquare wrapText="bothSides"/>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12"/>
                    <a:stretch>
                      <a:fillRect/>
                    </a:stretch>
                  </pic:blipFill>
                  <pic:spPr>
                    <a:xfrm>
                      <a:off x="0" y="0"/>
                      <a:ext cx="3980180" cy="2985770"/>
                    </a:xfrm>
                    <a:prstGeom prst="rect">
                      <a:avLst/>
                    </a:prstGeom>
                  </pic:spPr>
                </pic:pic>
              </a:graphicData>
            </a:graphic>
            <wp14:sizeRelH relativeFrom="margin">
              <wp14:pctWidth>0</wp14:pctWidth>
            </wp14:sizeRelH>
            <wp14:sizeRelV relativeFrom="margin">
              <wp14:pctHeight>0</wp14:pctHeight>
            </wp14:sizeRelV>
          </wp:anchor>
        </w:drawing>
      </w:r>
      <w:r w:rsidR="00EB77FD" w:rsidRPr="008F408E">
        <w:rPr>
          <w:color w:val="5B5D62" w:themeColor="accent6" w:themeShade="80"/>
        </w:rPr>
        <w:t xml:space="preserve">The RBA has made it clear that they expect higher inflation to continue. This source of this inflation is from both supply shocks stemming from the zero-covid policy enacted in China and the war in Ukraine, and also increases in domestic demand putting pressure on available capacity. </w:t>
      </w:r>
      <w:r w:rsidR="006E109D" w:rsidRPr="008F408E">
        <w:rPr>
          <w:color w:val="5B5D62" w:themeColor="accent6" w:themeShade="80"/>
        </w:rPr>
        <w:t xml:space="preserve">Their medium-term expectations are that inflation will return to the </w:t>
      </w:r>
      <w:r w:rsidR="004F5F69" w:rsidRPr="008F408E">
        <w:rPr>
          <w:color w:val="5B5D62" w:themeColor="accent6" w:themeShade="80"/>
        </w:rPr>
        <w:t>upper end</w:t>
      </w:r>
      <w:r w:rsidR="006E109D" w:rsidRPr="008F408E">
        <w:rPr>
          <w:color w:val="5B5D62" w:themeColor="accent6" w:themeShade="80"/>
        </w:rPr>
        <w:t xml:space="preserve"> of their inflation range (3%) by 2024. </w:t>
      </w:r>
    </w:p>
    <w:p w14:paraId="75BD03BC" w14:textId="3906179D" w:rsidR="008F408E" w:rsidRDefault="008F408E" w:rsidP="00BD5AC8">
      <w:pPr>
        <w:rPr>
          <w:color w:val="5B5D62" w:themeColor="accent6" w:themeShade="80"/>
        </w:rPr>
      </w:pPr>
    </w:p>
    <w:p w14:paraId="4B2AC610" w14:textId="22E5E764" w:rsidR="008F408E" w:rsidRDefault="008F408E" w:rsidP="00BD5AC8">
      <w:pPr>
        <w:rPr>
          <w:color w:val="5B5D62" w:themeColor="accent6" w:themeShade="80"/>
        </w:rPr>
      </w:pPr>
    </w:p>
    <w:p w14:paraId="06236D77" w14:textId="2E3DF641" w:rsidR="008F408E" w:rsidRDefault="008F408E" w:rsidP="00BD5AC8">
      <w:pPr>
        <w:rPr>
          <w:color w:val="5B5D62" w:themeColor="accent6" w:themeShade="80"/>
        </w:rPr>
      </w:pPr>
    </w:p>
    <w:p w14:paraId="4D07BD7B" w14:textId="252BC602" w:rsidR="008F408E" w:rsidRDefault="008F408E" w:rsidP="00BD5AC8">
      <w:pPr>
        <w:rPr>
          <w:color w:val="5B5D62" w:themeColor="accent6" w:themeShade="80"/>
        </w:rPr>
      </w:pPr>
    </w:p>
    <w:p w14:paraId="076687DB" w14:textId="33CBA216" w:rsidR="008F408E" w:rsidRDefault="00BE4DE1" w:rsidP="008F408E">
      <w:pPr>
        <w:pStyle w:val="Heading1"/>
      </w:pPr>
      <w:r>
        <w:lastRenderedPageBreak/>
        <w:t>Cumulation of Negative factors pressure equities</w:t>
      </w:r>
    </w:p>
    <w:p w14:paraId="567FB024" w14:textId="6F902B25" w:rsidR="00663062" w:rsidRPr="00E5395B" w:rsidRDefault="00DF46A3" w:rsidP="00BD5AC8">
      <w:pPr>
        <w:rPr>
          <w:color w:val="5B5D62" w:themeColor="accent6" w:themeShade="80"/>
        </w:rPr>
      </w:pPr>
      <w:r w:rsidRPr="00E5395B">
        <w:rPr>
          <w:noProof/>
          <w:color w:val="5B5D62" w:themeColor="accent6" w:themeShade="80"/>
        </w:rPr>
        <w:drawing>
          <wp:anchor distT="0" distB="0" distL="114300" distR="114300" simplePos="0" relativeHeight="251661312" behindDoc="0" locked="0" layoutInCell="1" allowOverlap="1" wp14:anchorId="001B36E9" wp14:editId="40E4584E">
            <wp:simplePos x="0" y="0"/>
            <wp:positionH relativeFrom="column">
              <wp:posOffset>2423160</wp:posOffset>
            </wp:positionH>
            <wp:positionV relativeFrom="paragraph">
              <wp:posOffset>243840</wp:posOffset>
            </wp:positionV>
            <wp:extent cx="4208145" cy="3157220"/>
            <wp:effectExtent l="0" t="0" r="1905" b="5080"/>
            <wp:wrapSquare wrapText="bothSides"/>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13"/>
                    <a:stretch>
                      <a:fillRect/>
                    </a:stretch>
                  </pic:blipFill>
                  <pic:spPr>
                    <a:xfrm>
                      <a:off x="0" y="0"/>
                      <a:ext cx="4208145" cy="3157220"/>
                    </a:xfrm>
                    <a:prstGeom prst="rect">
                      <a:avLst/>
                    </a:prstGeom>
                  </pic:spPr>
                </pic:pic>
              </a:graphicData>
            </a:graphic>
          </wp:anchor>
        </w:drawing>
      </w:r>
      <w:r w:rsidRPr="00E5395B">
        <w:rPr>
          <w:color w:val="5B5D62" w:themeColor="accent6" w:themeShade="80"/>
        </w:rPr>
        <w:t xml:space="preserve">The repricing in of inflation and interest rate expectations have put pressure on equity markets, most namely the NASDAQ. </w:t>
      </w:r>
      <w:r w:rsidR="00663062" w:rsidRPr="00E5395B">
        <w:rPr>
          <w:color w:val="5B5D62" w:themeColor="accent6" w:themeShade="80"/>
        </w:rPr>
        <w:t>Markets have been accustomed to accommodative monetary policy for many years and are now having to deal with a very different macroeconomic environment</w:t>
      </w:r>
      <w:r w:rsidR="00E5395B">
        <w:rPr>
          <w:color w:val="5B5D62" w:themeColor="accent6" w:themeShade="80"/>
        </w:rPr>
        <w:t xml:space="preserve"> that puts stress on the most speculative parts of the market.</w:t>
      </w:r>
    </w:p>
    <w:p w14:paraId="53B5A164" w14:textId="42D6AE1F" w:rsidR="00E5395B" w:rsidRPr="00E5395B" w:rsidRDefault="00E5395B" w:rsidP="00BD5AC8">
      <w:pPr>
        <w:rPr>
          <w:color w:val="5B5D62" w:themeColor="accent6" w:themeShade="80"/>
        </w:rPr>
      </w:pPr>
      <w:r>
        <w:rPr>
          <w:color w:val="5B5D62" w:themeColor="accent6" w:themeShade="80"/>
        </w:rPr>
        <w:t xml:space="preserve">Australian markets have held up well during the volatility due to the number of materials, </w:t>
      </w:r>
      <w:r w:rsidR="003E7684">
        <w:rPr>
          <w:color w:val="5B5D62" w:themeColor="accent6" w:themeShade="80"/>
        </w:rPr>
        <w:t>energy,</w:t>
      </w:r>
      <w:r>
        <w:rPr>
          <w:color w:val="5B5D62" w:themeColor="accent6" w:themeShade="80"/>
        </w:rPr>
        <w:t xml:space="preserve"> and financials companies in the index. These companies tend to do well during inflationary periods. </w:t>
      </w:r>
    </w:p>
    <w:p w14:paraId="44ACA8A1" w14:textId="058E8DF2" w:rsidR="004F5F69" w:rsidRDefault="00DF46A3" w:rsidP="00BD5AC8">
      <w:pPr>
        <w:rPr>
          <w:color w:val="5B5D62" w:themeColor="accent6" w:themeShade="80"/>
        </w:rPr>
      </w:pPr>
      <w:r w:rsidRPr="00E5395B">
        <w:rPr>
          <w:color w:val="5B5D62" w:themeColor="accent6" w:themeShade="80"/>
        </w:rPr>
        <w:t>The war in Ukraine has also impacted</w:t>
      </w:r>
      <w:r w:rsidR="00BE4DE1" w:rsidRPr="00E5395B">
        <w:rPr>
          <w:color w:val="5B5D62" w:themeColor="accent6" w:themeShade="80"/>
        </w:rPr>
        <w:t xml:space="preserve"> the European markets primarily but has had economic supply impacts across most of the world. This situation is not abating and remains dynamic in how the world will continue to be impacted. Food supply issues have been brought up as a </w:t>
      </w:r>
      <w:r w:rsidR="00574E5A" w:rsidRPr="00E5395B">
        <w:rPr>
          <w:color w:val="5B5D62" w:themeColor="accent6" w:themeShade="80"/>
        </w:rPr>
        <w:t xml:space="preserve">rising </w:t>
      </w:r>
      <w:r w:rsidR="00BE4DE1" w:rsidRPr="00E5395B">
        <w:rPr>
          <w:color w:val="5B5D62" w:themeColor="accent6" w:themeShade="80"/>
        </w:rPr>
        <w:t xml:space="preserve">concern </w:t>
      </w:r>
      <w:r w:rsidR="00574E5A" w:rsidRPr="00E5395B">
        <w:rPr>
          <w:color w:val="5B5D62" w:themeColor="accent6" w:themeShade="80"/>
        </w:rPr>
        <w:t>due to</w:t>
      </w:r>
      <w:r w:rsidR="00BE4DE1" w:rsidRPr="00E5395B">
        <w:rPr>
          <w:color w:val="5B5D62" w:themeColor="accent6" w:themeShade="80"/>
        </w:rPr>
        <w:t xml:space="preserve"> the fertiliser supply</w:t>
      </w:r>
      <w:r w:rsidR="00574E5A" w:rsidRPr="00E5395B">
        <w:rPr>
          <w:color w:val="5B5D62" w:themeColor="accent6" w:themeShade="80"/>
        </w:rPr>
        <w:t xml:space="preserve"> from th</w:t>
      </w:r>
      <w:r w:rsidR="00BE4DE1" w:rsidRPr="00E5395B">
        <w:rPr>
          <w:color w:val="5B5D62" w:themeColor="accent6" w:themeShade="80"/>
        </w:rPr>
        <w:t xml:space="preserve">e Ukraine/Russia region </w:t>
      </w:r>
      <w:r w:rsidR="00574E5A" w:rsidRPr="00E5395B">
        <w:rPr>
          <w:color w:val="5B5D62" w:themeColor="accent6" w:themeShade="80"/>
        </w:rPr>
        <w:t xml:space="preserve">being heavily impeded. The casual discussion by Russia of their willingness to use nuclear weapons </w:t>
      </w:r>
      <w:r w:rsidR="0081744D" w:rsidRPr="00E5395B">
        <w:rPr>
          <w:color w:val="5B5D62" w:themeColor="accent6" w:themeShade="80"/>
        </w:rPr>
        <w:t>if they deem necessary is an escalation not seen since the Cold War.</w:t>
      </w:r>
    </w:p>
    <w:p w14:paraId="71C641F1" w14:textId="6E36D35E" w:rsidR="0081744D" w:rsidRPr="00E5395B" w:rsidRDefault="0081744D" w:rsidP="0081744D">
      <w:pPr>
        <w:pStyle w:val="Heading1"/>
        <w:rPr>
          <w:color w:val="5B5D62" w:themeColor="accent6" w:themeShade="80"/>
        </w:rPr>
      </w:pPr>
      <w:r w:rsidRPr="00E5395B">
        <w:rPr>
          <w:color w:val="5B5D62" w:themeColor="accent6" w:themeShade="80"/>
        </w:rPr>
        <w:t>The coming Slowdown and what this means for equities and Bonds</w:t>
      </w:r>
    </w:p>
    <w:p w14:paraId="29709AEF" w14:textId="2E5E1902" w:rsidR="004F5F69" w:rsidRPr="00E5395B" w:rsidRDefault="00942B2A" w:rsidP="00BD5AC8">
      <w:pPr>
        <w:rPr>
          <w:color w:val="5B5D62" w:themeColor="accent6" w:themeShade="80"/>
        </w:rPr>
      </w:pPr>
      <w:r w:rsidRPr="00E5395B">
        <w:rPr>
          <w:noProof/>
          <w:color w:val="5B5D62" w:themeColor="accent6" w:themeShade="80"/>
        </w:rPr>
        <w:drawing>
          <wp:anchor distT="0" distB="0" distL="114300" distR="114300" simplePos="0" relativeHeight="251662336" behindDoc="0" locked="0" layoutInCell="1" allowOverlap="1" wp14:anchorId="60D93201" wp14:editId="6A37E63C">
            <wp:simplePos x="0" y="0"/>
            <wp:positionH relativeFrom="column">
              <wp:posOffset>2566353</wp:posOffset>
            </wp:positionH>
            <wp:positionV relativeFrom="paragraph">
              <wp:posOffset>138112</wp:posOffset>
            </wp:positionV>
            <wp:extent cx="3790950" cy="2844165"/>
            <wp:effectExtent l="0" t="0" r="0" b="0"/>
            <wp:wrapSquare wrapText="bothSides"/>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4"/>
                    <a:stretch>
                      <a:fillRect/>
                    </a:stretch>
                  </pic:blipFill>
                  <pic:spPr>
                    <a:xfrm>
                      <a:off x="0" y="0"/>
                      <a:ext cx="3790950" cy="2844165"/>
                    </a:xfrm>
                    <a:prstGeom prst="rect">
                      <a:avLst/>
                    </a:prstGeom>
                  </pic:spPr>
                </pic:pic>
              </a:graphicData>
            </a:graphic>
          </wp:anchor>
        </w:drawing>
      </w:r>
      <w:r w:rsidR="0081744D" w:rsidRPr="00E5395B">
        <w:rPr>
          <w:color w:val="5B5D62" w:themeColor="accent6" w:themeShade="80"/>
        </w:rPr>
        <w:t>In the last Masterclass,</w:t>
      </w:r>
      <w:r w:rsidR="003E7684">
        <w:rPr>
          <w:color w:val="5B5D62" w:themeColor="accent6" w:themeShade="80"/>
        </w:rPr>
        <w:t xml:space="preserve"> Centrepoint</w:t>
      </w:r>
      <w:r w:rsidR="0081744D" w:rsidRPr="00E5395B">
        <w:rPr>
          <w:color w:val="5B5D62" w:themeColor="accent6" w:themeShade="80"/>
        </w:rPr>
        <w:t xml:space="preserve"> Research outlined the first warning signs of a coming economic slowdown.</w:t>
      </w:r>
      <w:r w:rsidR="00AE7EDF" w:rsidRPr="00E5395B">
        <w:rPr>
          <w:color w:val="5B5D62" w:themeColor="accent6" w:themeShade="80"/>
        </w:rPr>
        <w:t xml:space="preserve"> Since then</w:t>
      </w:r>
      <w:r w:rsidRPr="00E5395B">
        <w:rPr>
          <w:color w:val="5B5D62" w:themeColor="accent6" w:themeShade="80"/>
        </w:rPr>
        <w:t>,</w:t>
      </w:r>
      <w:r w:rsidR="00AE7EDF" w:rsidRPr="00E5395B">
        <w:rPr>
          <w:color w:val="5B5D62" w:themeColor="accent6" w:themeShade="80"/>
        </w:rPr>
        <w:t xml:space="preserve"> the United States has reported an unexpected 1.4% drop in quarterly GDP growth</w:t>
      </w:r>
      <w:r w:rsidRPr="00E5395B">
        <w:rPr>
          <w:color w:val="5B5D62" w:themeColor="accent6" w:themeShade="80"/>
        </w:rPr>
        <w:t xml:space="preserve"> verses an expected 1.1% gain. Whilst one quarter</w:t>
      </w:r>
      <w:r w:rsidR="00A03ED8" w:rsidRPr="00E5395B">
        <w:rPr>
          <w:color w:val="5B5D62" w:themeColor="accent6" w:themeShade="80"/>
        </w:rPr>
        <w:t xml:space="preserve"> does not indicate a trend, the unexpectedness of the number is the primary concern. Research expects this slowdown start showing in Europe as the war in Ukraine continues to drag on the region. </w:t>
      </w:r>
    </w:p>
    <w:p w14:paraId="3A74A1C3" w14:textId="00A7C349" w:rsidR="00A03ED8" w:rsidRPr="00E5395B" w:rsidRDefault="00A03ED8" w:rsidP="00BD5AC8">
      <w:pPr>
        <w:rPr>
          <w:color w:val="5B5D62" w:themeColor="accent6" w:themeShade="80"/>
        </w:rPr>
      </w:pPr>
      <w:r w:rsidRPr="00E5395B">
        <w:rPr>
          <w:color w:val="5B5D62" w:themeColor="accent6" w:themeShade="80"/>
        </w:rPr>
        <w:t xml:space="preserve">If a slowdown is coming, what does this mean? It will mean that central banks will have to rethink how aggressive they can be with interest rates. A lot of interest rate increases are now priced into markets, and this is likely to be a positive for both equities and bonds if these expectations of increases </w:t>
      </w:r>
      <w:r w:rsidR="003E7684">
        <w:rPr>
          <w:color w:val="5B5D62" w:themeColor="accent6" w:themeShade="80"/>
        </w:rPr>
        <w:t>must</w:t>
      </w:r>
      <w:r w:rsidRPr="00E5395B">
        <w:rPr>
          <w:color w:val="5B5D62" w:themeColor="accent6" w:themeShade="80"/>
        </w:rPr>
        <w:t xml:space="preserve"> be wound back to some degree. Remember, interest rate increases are ultimately not positive for equities or bonds. </w:t>
      </w:r>
      <w:r w:rsidR="00E20F3F" w:rsidRPr="00E5395B">
        <w:rPr>
          <w:color w:val="5B5D62" w:themeColor="accent6" w:themeShade="80"/>
        </w:rPr>
        <w:t xml:space="preserve">A return to a low growth environment (which has been the case for the last 10+ years) is likely to occur in the medium term. This </w:t>
      </w:r>
      <w:r w:rsidR="00E20F3F" w:rsidRPr="00E5395B">
        <w:rPr>
          <w:color w:val="5B5D62" w:themeColor="accent6" w:themeShade="80"/>
        </w:rPr>
        <w:lastRenderedPageBreak/>
        <w:t xml:space="preserve">slowdown may not take place until 2023/24 as interest rate increases take time to impact economies. </w:t>
      </w:r>
      <w:r w:rsidR="003539C4">
        <w:rPr>
          <w:color w:val="5B5D62" w:themeColor="accent6" w:themeShade="80"/>
        </w:rPr>
        <w:t>Value stocks have performed well over the last few months, these companies tend to be in the materials and energy sectors. An economic slowdown would see these companies start to struggle as they are closely tied to economic growth.</w:t>
      </w:r>
    </w:p>
    <w:p w14:paraId="3F41BA82" w14:textId="69667DE0" w:rsidR="00E20F3F" w:rsidRPr="00E5395B" w:rsidRDefault="00E20F3F" w:rsidP="00BD5AC8">
      <w:pPr>
        <w:rPr>
          <w:color w:val="5B5D62" w:themeColor="accent6" w:themeShade="80"/>
        </w:rPr>
      </w:pPr>
      <w:r w:rsidRPr="00E5395B">
        <w:rPr>
          <w:color w:val="5B5D62" w:themeColor="accent6" w:themeShade="80"/>
        </w:rPr>
        <w:t>The short term remains highly unpredictable and diversification across asset classes, regions and styles remains the best strategy. Ensuring that there are</w:t>
      </w:r>
      <w:r w:rsidR="003E7684">
        <w:rPr>
          <w:color w:val="5B5D62" w:themeColor="accent6" w:themeShade="80"/>
        </w:rPr>
        <w:t xml:space="preserve"> strategies</w:t>
      </w:r>
      <w:r w:rsidRPr="00E5395B">
        <w:rPr>
          <w:color w:val="5B5D62" w:themeColor="accent6" w:themeShade="80"/>
        </w:rPr>
        <w:t xml:space="preserve"> with defensive capabilities in each component of the portfolio is recommended as inflation will remain elevated and interest rates should continue to move higher. </w:t>
      </w:r>
      <w:r w:rsidR="00807D9A" w:rsidRPr="00E5395B">
        <w:rPr>
          <w:color w:val="5B5D62" w:themeColor="accent6" w:themeShade="80"/>
        </w:rPr>
        <w:t xml:space="preserve">Inflation is likely to remain elevated due to the continuing supply pressures seen around the world and therefore allocations to real assets is still recommended. </w:t>
      </w:r>
    </w:p>
    <w:p w14:paraId="0947C147" w14:textId="663217A2" w:rsidR="00942B2A" w:rsidRPr="00E5395B" w:rsidRDefault="00942B2A" w:rsidP="00BD5AC8">
      <w:pPr>
        <w:rPr>
          <w:color w:val="5B5D62" w:themeColor="accent6" w:themeShade="80"/>
        </w:rPr>
      </w:pPr>
    </w:p>
    <w:bookmarkEnd w:id="1"/>
    <w:p w14:paraId="05836733" w14:textId="1F39157C" w:rsidR="002612CC" w:rsidRPr="00E5395B" w:rsidRDefault="002612CC" w:rsidP="00BD5AC8">
      <w:pPr>
        <w:rPr>
          <w:color w:val="5B5D62" w:themeColor="accent6" w:themeShade="80"/>
        </w:rPr>
      </w:pPr>
    </w:p>
    <w:p w14:paraId="25985BF8" w14:textId="399B30F2" w:rsidR="002612CC" w:rsidRDefault="002612CC" w:rsidP="00BD5AC8"/>
    <w:p w14:paraId="11B17F12" w14:textId="61649022" w:rsidR="00725738" w:rsidRDefault="00725738" w:rsidP="00BD5AC8"/>
    <w:p w14:paraId="69FA43D6" w14:textId="410960A1" w:rsidR="00725738" w:rsidRDefault="00725738" w:rsidP="00BD5AC8"/>
    <w:p w14:paraId="14E0334A" w14:textId="6441A208" w:rsidR="00725738" w:rsidRDefault="00725738" w:rsidP="00BD5AC8"/>
    <w:p w14:paraId="44F1FB93" w14:textId="124D1B1C" w:rsidR="00725738" w:rsidRDefault="00725738" w:rsidP="00BD5AC8"/>
    <w:p w14:paraId="3315B972" w14:textId="63780DB3" w:rsidR="00725738" w:rsidRDefault="00725738" w:rsidP="00BD5AC8"/>
    <w:p w14:paraId="0FB26A37" w14:textId="4AA17FD2" w:rsidR="00725738" w:rsidRDefault="00725738" w:rsidP="00BD5AC8"/>
    <w:p w14:paraId="30B16BD7" w14:textId="2182D4B3" w:rsidR="00725738" w:rsidRDefault="00725738" w:rsidP="00BD5AC8"/>
    <w:p w14:paraId="33269658" w14:textId="6A627419" w:rsidR="00725738" w:rsidRDefault="00725738" w:rsidP="00BD5AC8"/>
    <w:p w14:paraId="5E0CE3E2" w14:textId="5F887B83" w:rsidR="00725738" w:rsidRDefault="00725738" w:rsidP="00BD5AC8"/>
    <w:p w14:paraId="11F72D94" w14:textId="529C4A33" w:rsidR="00725738" w:rsidRDefault="00725738" w:rsidP="00BD5AC8"/>
    <w:p w14:paraId="50D772A6" w14:textId="77777777" w:rsidR="00725738" w:rsidRDefault="00725738" w:rsidP="00BD5AC8"/>
    <w:p w14:paraId="6AFC0BCC" w14:textId="77777777" w:rsidR="00725738" w:rsidRDefault="00725738" w:rsidP="00725738">
      <w:pPr>
        <w:jc w:val="both"/>
        <w:rPr>
          <w:b/>
          <w:sz w:val="18"/>
          <w:szCs w:val="20"/>
          <w:lang w:val="en-AU"/>
        </w:rPr>
      </w:pPr>
      <w:r>
        <w:rPr>
          <w:b/>
          <w:sz w:val="18"/>
        </w:rPr>
        <w:t>Disclaimer</w:t>
      </w:r>
    </w:p>
    <w:p w14:paraId="625D7FDA" w14:textId="77777777" w:rsidR="00725738" w:rsidRDefault="00725738" w:rsidP="00725738">
      <w:pPr>
        <w:pStyle w:val="SubBulletPoints"/>
        <w:numPr>
          <w:ilvl w:val="0"/>
          <w:numId w:val="0"/>
        </w:numPr>
        <w:spacing w:before="100" w:after="200"/>
        <w:jc w:val="both"/>
        <w:rPr>
          <w:sz w:val="18"/>
        </w:rPr>
      </w:pPr>
      <w:r>
        <w:rPr>
          <w:sz w:val="18"/>
        </w:rPr>
        <w:t xml:space="preserve">The information provided in this communication has been issued by Centrepoint Alliance Ltd and Ventura Investment Management Limited (AFSL 253045). </w:t>
      </w:r>
    </w:p>
    <w:p w14:paraId="37FEBA05" w14:textId="77777777" w:rsidR="00725738" w:rsidRDefault="00725738" w:rsidP="00725738">
      <w:pPr>
        <w:pStyle w:val="SubBulletPoints"/>
        <w:numPr>
          <w:ilvl w:val="0"/>
          <w:numId w:val="0"/>
        </w:numPr>
        <w:spacing w:before="100" w:after="200"/>
        <w:jc w:val="both"/>
        <w:rPr>
          <w:sz w:val="18"/>
        </w:rPr>
      </w:pPr>
      <w:r>
        <w:rPr>
          <w:sz w:val="18"/>
        </w:rPr>
        <w:t xml:space="preserve">The information provided is general advice only has not </w:t>
      </w:r>
      <w:proofErr w:type="gramStart"/>
      <w:r>
        <w:rPr>
          <w:sz w:val="18"/>
        </w:rPr>
        <w:t>taken into account</w:t>
      </w:r>
      <w:proofErr w:type="gramEnd"/>
      <w:r>
        <w:rPr>
          <w:sz w:val="18"/>
        </w:rPr>
        <w:t xml:space="preserve"> your financial circumstances, needs or objectives. This publication should be viewed as an additional resource, not as your sole source of information. Where you are considering the acquisition, or possible acquisition, of a particular financial product, you should obtain a Product Disclosure for the relevant product before you make any decision to invest. Past performance does not necessarily indicate a financial product’s future performance. It is imperative that you seek advice from a registered professional financial adviser before making any investment decisions. </w:t>
      </w:r>
    </w:p>
    <w:p w14:paraId="423313E7" w14:textId="77777777" w:rsidR="00725738" w:rsidRDefault="00725738" w:rsidP="00725738">
      <w:pPr>
        <w:pStyle w:val="SubBulletPoints"/>
        <w:numPr>
          <w:ilvl w:val="0"/>
          <w:numId w:val="0"/>
        </w:numPr>
        <w:spacing w:before="100" w:after="200"/>
        <w:jc w:val="both"/>
        <w:rPr>
          <w:sz w:val="18"/>
        </w:rPr>
      </w:pPr>
      <w:r>
        <w:rPr>
          <w:sz w:val="18"/>
        </w:rPr>
        <w:t xml:space="preserve">© Copyright 2018 - 2019 Centrepoint Alliance Ltd. All rights reserved. Whilst all care has been taken in the preparation of this material, no warranty is given in respect of the information provided and accordingly neither Centrepoint Alliance Ltd nor its related entities, guarantee the data or content contained herein to be accurate, </w:t>
      </w:r>
      <w:proofErr w:type="gramStart"/>
      <w:r>
        <w:rPr>
          <w:sz w:val="18"/>
        </w:rPr>
        <w:t>complete</w:t>
      </w:r>
      <w:proofErr w:type="gramEnd"/>
      <w:r>
        <w:rPr>
          <w:sz w:val="18"/>
        </w:rPr>
        <w:t xml:space="preserve"> or timely nor will they have any liability for its use or distribution.</w:t>
      </w:r>
    </w:p>
    <w:p w14:paraId="09D1B89E" w14:textId="2D276317" w:rsidR="002612CC" w:rsidRPr="00725738" w:rsidRDefault="00725738" w:rsidP="00725738">
      <w:pPr>
        <w:pStyle w:val="SubBulletPoints"/>
        <w:numPr>
          <w:ilvl w:val="0"/>
          <w:numId w:val="0"/>
        </w:numPr>
        <w:spacing w:before="100" w:after="200"/>
        <w:jc w:val="both"/>
        <w:rPr>
          <w:sz w:val="18"/>
        </w:rPr>
      </w:pPr>
      <w:r>
        <w:rPr>
          <w:sz w:val="18"/>
        </w:rPr>
        <w:t xml:space="preserve">For more information, refer to the Financial Services Guide (FSG) for Ventura Investment Management Limited (available at </w:t>
      </w:r>
      <w:hyperlink r:id="rId15" w:history="1">
        <w:r w:rsidRPr="007408F8">
          <w:rPr>
            <w:rStyle w:val="Hyperlink"/>
            <w:sz w:val="18"/>
          </w:rPr>
          <w:t>https://venturafm.com.au/media/1729/ventura-fsg-update-nov.pdf</w:t>
        </w:r>
      </w:hyperlink>
      <w:r>
        <w:rPr>
          <w:sz w:val="18"/>
        </w:rPr>
        <w:t>).</w:t>
      </w:r>
      <w:bookmarkEnd w:id="2"/>
    </w:p>
    <w:sectPr w:rsidR="002612CC" w:rsidRPr="00725738" w:rsidSect="00253DF2">
      <w:footerReference w:type="default" r:id="rId16"/>
      <w:headerReference w:type="first" r:id="rId17"/>
      <w:footerReference w:type="first" r:id="rId18"/>
      <w:pgSz w:w="11906" w:h="16838" w:code="9"/>
      <w:pgMar w:top="992" w:right="1021" w:bottom="1701" w:left="1021" w:header="284" w:footer="794" w:gutter="0"/>
      <w:cols w:space="708" w:equalWidth="0">
        <w:col w:w="9864"/>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F5ED2" w14:textId="77777777" w:rsidR="008C59A5" w:rsidRDefault="008C59A5" w:rsidP="008F222C">
      <w:r>
        <w:separator/>
      </w:r>
    </w:p>
  </w:endnote>
  <w:endnote w:type="continuationSeparator" w:id="0">
    <w:p w14:paraId="2EA3544E" w14:textId="77777777" w:rsidR="008C59A5" w:rsidRDefault="008C59A5" w:rsidP="008F2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gsana New">
    <w:altName w:val="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A790" w14:textId="1F51B2C6" w:rsidR="00EC3D49" w:rsidRDefault="00DB2BEC">
    <w:pPr>
      <w:pStyle w:val="Footer"/>
    </w:pPr>
    <w:r w:rsidRPr="009C22BC">
      <w:rPr>
        <w:rStyle w:val="Companyfooter"/>
      </w:rPr>
      <w:t>Centrepoint Alliance</w:t>
    </w:r>
    <w:r>
      <w:rPr>
        <w:rStyle w:val="Companyfooter"/>
      </w:rPr>
      <w:t xml:space="preserve"> </w:t>
    </w:r>
    <w:sdt>
      <w:sdtPr>
        <w:alias w:val="Title"/>
        <w:tag w:val=""/>
        <w:id w:val="-1991162084"/>
        <w:dataBinding w:prefixMappings="xmlns:ns0='http://purl.org/dc/elements/1.1/' xmlns:ns1='http://schemas.openxmlformats.org/package/2006/metadata/core-properties' " w:xpath="/ns1:coreProperties[1]/ns0:title[1]" w:storeItemID="{6C3C8BC8-F283-45AE-878A-BAB7291924A1}"/>
        <w:text/>
      </w:sdtPr>
      <w:sdtEndPr/>
      <w:sdtContent>
        <w:r w:rsidR="00BD5AC8">
          <w:t>Understanding the recent market volatility</w:t>
        </w:r>
      </w:sdtContent>
    </w:sdt>
    <w:r>
      <w:ptab w:relativeTo="margin" w:alignment="right" w:leader="none"/>
    </w:r>
    <w:r w:rsidRPr="00C40EAB">
      <w:fldChar w:fldCharType="begin"/>
    </w:r>
    <w:r w:rsidRPr="00C40EAB">
      <w:instrText xml:space="preserve"> PAGE   \* MERGEFORMAT </w:instrText>
    </w:r>
    <w:r w:rsidRPr="00C40EAB">
      <w:fldChar w:fldCharType="separate"/>
    </w:r>
    <w:r w:rsidRPr="00C40EAB">
      <w:t>1</w:t>
    </w:r>
    <w:r w:rsidRPr="00C40EA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64CD3" w14:textId="3F563697" w:rsidR="00BD7B99" w:rsidRDefault="00BD7B99" w:rsidP="00DB2BEC">
    <w:pPr>
      <w:pStyle w:val="Footer"/>
    </w:pPr>
    <w:r w:rsidRPr="009C22BC">
      <w:rPr>
        <w:rStyle w:val="Companyfooter"/>
      </w:rPr>
      <w:t>Centrepoint Alliance</w:t>
    </w:r>
    <w:r w:rsidR="00DB2BEC">
      <w:rPr>
        <w:rStyle w:val="Companyfooter"/>
      </w:rPr>
      <w:t xml:space="preserve"> </w:t>
    </w:r>
    <w:sdt>
      <w:sdtPr>
        <w:alias w:val="Title"/>
        <w:tag w:val=""/>
        <w:id w:val="-784039253"/>
        <w:dataBinding w:prefixMappings="xmlns:ns0='http://purl.org/dc/elements/1.1/' xmlns:ns1='http://schemas.openxmlformats.org/package/2006/metadata/core-properties' " w:xpath="/ns1:coreProperties[1]/ns0:title[1]" w:storeItemID="{6C3C8BC8-F283-45AE-878A-BAB7291924A1}"/>
        <w:text/>
      </w:sdtPr>
      <w:sdtEndPr/>
      <w:sdtContent>
        <w:r w:rsidR="00BD5AC8">
          <w:t>Understanding the recent market volatility</w:t>
        </w:r>
      </w:sdtContent>
    </w:sdt>
    <w:r>
      <w:ptab w:relativeTo="margin" w:alignment="right" w:leader="none"/>
    </w:r>
    <w:r w:rsidRPr="00C40EAB">
      <w:fldChar w:fldCharType="begin"/>
    </w:r>
    <w:r w:rsidRPr="00C40EAB">
      <w:instrText xml:space="preserve"> PAGE   \* MERGEFORMAT </w:instrText>
    </w:r>
    <w:r w:rsidRPr="00C40EAB">
      <w:fldChar w:fldCharType="separate"/>
    </w:r>
    <w:r w:rsidRPr="00C40EAB">
      <w:t>1</w:t>
    </w:r>
    <w:r w:rsidRPr="00C40EA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DA663" w14:textId="77777777" w:rsidR="008C59A5" w:rsidRDefault="008C59A5" w:rsidP="008F222C">
      <w:r>
        <w:separator/>
      </w:r>
    </w:p>
  </w:footnote>
  <w:footnote w:type="continuationSeparator" w:id="0">
    <w:p w14:paraId="4C9EF1AD" w14:textId="77777777" w:rsidR="008C59A5" w:rsidRDefault="008C59A5" w:rsidP="008F2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D2A8E" w14:textId="77777777" w:rsidR="0090718D" w:rsidRPr="005D073E" w:rsidRDefault="0090718D" w:rsidP="005D073E">
    <w:pPr>
      <w:pStyle w:val="Header"/>
    </w:pPr>
    <w:r>
      <w:rPr>
        <w:noProof/>
      </w:rPr>
      <w:drawing>
        <wp:anchor distT="0" distB="0" distL="114300" distR="114300" simplePos="0" relativeHeight="251662336" behindDoc="1" locked="1" layoutInCell="1" allowOverlap="1" wp14:anchorId="131D78DA" wp14:editId="6CB1F6AB">
          <wp:simplePos x="0" y="0"/>
          <wp:positionH relativeFrom="page">
            <wp:align>left</wp:align>
          </wp:positionH>
          <wp:positionV relativeFrom="page">
            <wp:align>top</wp:align>
          </wp:positionV>
          <wp:extent cx="7560000" cy="1659600"/>
          <wp:effectExtent l="0" t="0" r="3175" b="0"/>
          <wp:wrapNone/>
          <wp:docPr id="28" name="Picture 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ument header-01.png"/>
                  <pic:cNvPicPr/>
                </pic:nvPicPr>
                <pic:blipFill>
                  <a:blip r:embed="rId1"/>
                  <a:stretch>
                    <a:fillRect/>
                  </a:stretch>
                </pic:blipFill>
                <pic:spPr>
                  <a:xfrm>
                    <a:off x="0" y="0"/>
                    <a:ext cx="7560000" cy="165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D97E6C82"/>
    <w:lvl w:ilvl="0">
      <w:start w:val="1"/>
      <w:numFmt w:val="lowerRoman"/>
      <w:pStyle w:val="ListNumber3"/>
      <w:lvlText w:val="%1."/>
      <w:lvlJc w:val="left"/>
      <w:pPr>
        <w:tabs>
          <w:tab w:val="num" w:pos="926"/>
        </w:tabs>
        <w:ind w:left="926" w:hanging="360"/>
      </w:pPr>
      <w:rPr>
        <w:rFonts w:hint="default"/>
      </w:rPr>
    </w:lvl>
  </w:abstractNum>
  <w:abstractNum w:abstractNumId="1" w15:restartNumberingAfterBreak="0">
    <w:nsid w:val="FFFFFF7F"/>
    <w:multiLevelType w:val="singleLevel"/>
    <w:tmpl w:val="700CD52C"/>
    <w:lvl w:ilvl="0">
      <w:start w:val="1"/>
      <w:numFmt w:val="lowerLetter"/>
      <w:pStyle w:val="ListNumber2"/>
      <w:lvlText w:val="%1."/>
      <w:lvlJc w:val="left"/>
      <w:pPr>
        <w:tabs>
          <w:tab w:val="num" w:pos="643"/>
        </w:tabs>
        <w:ind w:left="643" w:hanging="360"/>
      </w:pPr>
      <w:rPr>
        <w:rFonts w:hint="default"/>
      </w:rPr>
    </w:lvl>
  </w:abstractNum>
  <w:abstractNum w:abstractNumId="2" w15:restartNumberingAfterBreak="0">
    <w:nsid w:val="FFFFFF82"/>
    <w:multiLevelType w:val="singleLevel"/>
    <w:tmpl w:val="1C08BCEE"/>
    <w:lvl w:ilvl="0">
      <w:start w:val="1"/>
      <w:numFmt w:val="bullet"/>
      <w:lvlText w:val="–"/>
      <w:lvlJc w:val="left"/>
      <w:pPr>
        <w:ind w:left="680" w:hanging="226"/>
      </w:pPr>
      <w:rPr>
        <w:rFonts w:ascii="Arial" w:hAnsi="Arial" w:hint="default"/>
      </w:rPr>
    </w:lvl>
  </w:abstractNum>
  <w:abstractNum w:abstractNumId="3" w15:restartNumberingAfterBreak="0">
    <w:nsid w:val="FFFFFF83"/>
    <w:multiLevelType w:val="singleLevel"/>
    <w:tmpl w:val="A820607E"/>
    <w:lvl w:ilvl="0">
      <w:start w:val="1"/>
      <w:numFmt w:val="bullet"/>
      <w:lvlText w:val="–"/>
      <w:lvlJc w:val="left"/>
      <w:pPr>
        <w:ind w:left="454" w:hanging="227"/>
      </w:pPr>
      <w:rPr>
        <w:rFonts w:ascii="Arial" w:hAnsi="Arial" w:hint="default"/>
      </w:rPr>
    </w:lvl>
  </w:abstractNum>
  <w:abstractNum w:abstractNumId="4" w15:restartNumberingAfterBreak="0">
    <w:nsid w:val="FFFFFF88"/>
    <w:multiLevelType w:val="singleLevel"/>
    <w:tmpl w:val="D3A051F4"/>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ED36D3D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DEC477B"/>
    <w:multiLevelType w:val="hybridMultilevel"/>
    <w:tmpl w:val="6AA264F4"/>
    <w:lvl w:ilvl="0" w:tplc="3C5C0572">
      <w:start w:val="1"/>
      <w:numFmt w:val="decimal"/>
      <w:lvlText w:val="%1."/>
      <w:lvlJc w:val="left"/>
      <w:pPr>
        <w:ind w:left="720" w:hanging="360"/>
      </w:pPr>
    </w:lvl>
    <w:lvl w:ilvl="1" w:tplc="070EF956">
      <w:start w:val="1"/>
      <w:numFmt w:val="bullet"/>
      <w:lvlText w:val=""/>
      <w:lvlJc w:val="left"/>
      <w:pPr>
        <w:ind w:left="1440" w:hanging="360"/>
      </w:pPr>
      <w:rPr>
        <w:rFonts w:ascii="Symbol" w:hAnsi="Symbol" w:hint="default"/>
      </w:rPr>
    </w:lvl>
    <w:lvl w:ilvl="2" w:tplc="5756F9C2">
      <w:start w:val="1"/>
      <w:numFmt w:val="bullet"/>
      <w:pStyle w:val="SubBulletPoints"/>
      <w:lvlText w:val="-"/>
      <w:lvlJc w:val="left"/>
      <w:pPr>
        <w:ind w:left="2160" w:hanging="180"/>
      </w:pPr>
      <w:rPr>
        <w:rFonts w:ascii="Arial" w:hAnsi="Arial" w:cs="Times New Roman" w:hint="default"/>
      </w:r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245038D5"/>
    <w:multiLevelType w:val="multilevel"/>
    <w:tmpl w:val="BD4ECEF8"/>
    <w:lvl w:ilvl="0">
      <w:start w:val="1"/>
      <w:numFmt w:val="bullet"/>
      <w:pStyle w:val="ListBullet"/>
      <w:lvlText w:val=""/>
      <w:lvlJc w:val="left"/>
      <w:pPr>
        <w:ind w:left="227" w:hanging="227"/>
      </w:pPr>
      <w:rPr>
        <w:rFonts w:ascii="Symbol" w:hAnsi="Symbol" w:hint="default"/>
      </w:rPr>
    </w:lvl>
    <w:lvl w:ilvl="1">
      <w:start w:val="1"/>
      <w:numFmt w:val="bullet"/>
      <w:pStyle w:val="ListBullet2"/>
      <w:lvlText w:val="–"/>
      <w:lvlJc w:val="left"/>
      <w:pPr>
        <w:ind w:left="454" w:hanging="227"/>
      </w:pPr>
      <w:rPr>
        <w:rFonts w:ascii="Arial" w:hAnsi="Arial" w:hint="default"/>
      </w:rPr>
    </w:lvl>
    <w:lvl w:ilvl="2">
      <w:start w:val="1"/>
      <w:numFmt w:val="bullet"/>
      <w:pStyle w:val="ListBullet3"/>
      <w:lvlText w:val="–"/>
      <w:lvlJc w:val="left"/>
      <w:pPr>
        <w:ind w:left="680" w:hanging="226"/>
      </w:pPr>
      <w:rPr>
        <w:rFonts w:ascii="Arial" w:hAnsi="Arial"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25A97C20"/>
    <w:multiLevelType w:val="multilevel"/>
    <w:tmpl w:val="9546248C"/>
    <w:lvl w:ilvl="0">
      <w:start w:val="1"/>
      <w:numFmt w:val="upperLetter"/>
      <w:pStyle w:val="AppendixHeading1"/>
      <w:lvlText w:val="%1."/>
      <w:lvlJc w:val="left"/>
      <w:pPr>
        <w:ind w:left="425" w:hanging="425"/>
      </w:pPr>
      <w:rPr>
        <w:rFonts w:hint="default"/>
      </w:rPr>
    </w:lvl>
    <w:lvl w:ilvl="1">
      <w:start w:val="1"/>
      <w:numFmt w:val="decimal"/>
      <w:pStyle w:val="AppendixHeading2"/>
      <w:lvlText w:val="%1.%2"/>
      <w:lvlJc w:val="left"/>
      <w:pPr>
        <w:ind w:left="567" w:hanging="567"/>
      </w:pPr>
      <w:rPr>
        <w:rFonts w:hint="default"/>
      </w:rPr>
    </w:lvl>
    <w:lvl w:ilvl="2">
      <w:start w:val="1"/>
      <w:numFmt w:val="decimal"/>
      <w:pStyle w:val="AppendixHeading3"/>
      <w:lvlText w:val="%1.%2.%3"/>
      <w:lvlJc w:val="left"/>
      <w:pPr>
        <w:ind w:left="709" w:hanging="709"/>
      </w:pPr>
      <w:rPr>
        <w:rFonts w:hint="default"/>
      </w:rPr>
    </w:lvl>
    <w:lvl w:ilvl="3">
      <w:start w:val="1"/>
      <w:numFmt w:val="decimal"/>
      <w:pStyle w:val="AppendixHeading4"/>
      <w:lvlText w:val="%1.%2.%3.%4"/>
      <w:lvlJc w:val="left"/>
      <w:pPr>
        <w:ind w:left="851" w:hanging="851"/>
      </w:pPr>
      <w:rPr>
        <w:rFonts w:hint="default"/>
      </w:rPr>
    </w:lvl>
    <w:lvl w:ilvl="4">
      <w:start w:val="1"/>
      <w:numFmt w:val="decimal"/>
      <w:pStyle w:val="AppendixHeading5"/>
      <w:lvlText w:val="%1.%2.%3.%4.%5"/>
      <w:lvlJc w:val="left"/>
      <w:pPr>
        <w:ind w:left="992" w:hanging="992"/>
      </w:pPr>
      <w:rPr>
        <w:rFonts w:hint="default"/>
      </w:rPr>
    </w:lvl>
    <w:lvl w:ilvl="5">
      <w:start w:val="1"/>
      <w:numFmt w:val="decimal"/>
      <w:pStyle w:val="AppendixHeading6"/>
      <w:lvlText w:val="%1.%2.%3.%4.%5.%6"/>
      <w:lvlJc w:val="left"/>
      <w:pPr>
        <w:ind w:left="1134" w:hanging="1134"/>
      </w:pPr>
      <w:rPr>
        <w:rFonts w:hint="default"/>
      </w:rPr>
    </w:lvl>
    <w:lvl w:ilvl="6">
      <w:start w:val="1"/>
      <w:numFmt w:val="lowerLetter"/>
      <w:pStyle w:val="AppendixPara1"/>
      <w:lvlText w:val="%7."/>
      <w:lvlJc w:val="left"/>
      <w:pPr>
        <w:ind w:left="227" w:hanging="227"/>
      </w:pPr>
      <w:rPr>
        <w:rFonts w:hint="default"/>
      </w:rPr>
    </w:lvl>
    <w:lvl w:ilvl="7">
      <w:start w:val="1"/>
      <w:numFmt w:val="lowerRoman"/>
      <w:pStyle w:val="AppendixPara2"/>
      <w:lvlText w:val="%8."/>
      <w:lvlJc w:val="left"/>
      <w:pPr>
        <w:ind w:left="454" w:hanging="227"/>
      </w:pPr>
      <w:rPr>
        <w:rFonts w:hint="default"/>
      </w:rPr>
    </w:lvl>
    <w:lvl w:ilvl="8">
      <w:start w:val="1"/>
      <w:numFmt w:val="upperLetter"/>
      <w:pStyle w:val="AppendixPara3"/>
      <w:lvlText w:val="%9."/>
      <w:lvlJc w:val="left"/>
      <w:pPr>
        <w:ind w:left="680" w:hanging="226"/>
      </w:pPr>
      <w:rPr>
        <w:rFonts w:hint="default"/>
      </w:rPr>
    </w:lvl>
  </w:abstractNum>
  <w:abstractNum w:abstractNumId="9" w15:restartNumberingAfterBreak="0">
    <w:nsid w:val="3CAA0149"/>
    <w:multiLevelType w:val="multilevel"/>
    <w:tmpl w:val="CFE63616"/>
    <w:lvl w:ilvl="0">
      <w:start w:val="1"/>
      <w:numFmt w:val="none"/>
      <w:pStyle w:val="Tablenotesorsource"/>
      <w:suff w:val="nothing"/>
      <w:lvlText w:val="%1"/>
      <w:lvlJc w:val="left"/>
      <w:pPr>
        <w:ind w:left="0" w:firstLine="0"/>
      </w:pPr>
      <w:rPr>
        <w:rFonts w:hint="default"/>
      </w:rPr>
    </w:lvl>
    <w:lvl w:ilvl="1">
      <w:start w:val="1"/>
      <w:numFmt w:val="decimal"/>
      <w:pStyle w:val="Tablenotenumbers"/>
      <w:lvlText w:val="%2."/>
      <w:lvlJc w:val="left"/>
      <w:pPr>
        <w:ind w:left="357" w:hanging="35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70A544F8"/>
    <w:multiLevelType w:val="multilevel"/>
    <w:tmpl w:val="DA4E64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lowerLetter"/>
      <w:lvlText w:val="%7."/>
      <w:lvlJc w:val="left"/>
      <w:pPr>
        <w:ind w:left="227" w:hanging="227"/>
      </w:pPr>
      <w:rPr>
        <w:rFonts w:hint="default"/>
      </w:rPr>
    </w:lvl>
    <w:lvl w:ilvl="7">
      <w:start w:val="1"/>
      <w:numFmt w:val="lowerRoman"/>
      <w:lvlText w:val="%8."/>
      <w:lvlJc w:val="left"/>
      <w:pPr>
        <w:tabs>
          <w:tab w:val="num" w:pos="357"/>
        </w:tabs>
        <w:ind w:left="454" w:hanging="227"/>
      </w:pPr>
      <w:rPr>
        <w:rFonts w:hint="default"/>
      </w:rPr>
    </w:lvl>
    <w:lvl w:ilvl="8">
      <w:start w:val="1"/>
      <w:numFmt w:val="upperLetter"/>
      <w:lvlText w:val="%9."/>
      <w:lvlJc w:val="left"/>
      <w:pPr>
        <w:ind w:left="680" w:hanging="226"/>
      </w:pPr>
      <w:rPr>
        <w:rFonts w:hint="default"/>
      </w:rPr>
    </w:lvl>
  </w:abstractNum>
  <w:abstractNum w:abstractNumId="11" w15:restartNumberingAfterBreak="0">
    <w:nsid w:val="71C552B8"/>
    <w:multiLevelType w:val="multilevel"/>
    <w:tmpl w:val="5ED47E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lowerLetter"/>
      <w:lvlText w:val="%7."/>
      <w:lvlJc w:val="left"/>
      <w:pPr>
        <w:ind w:left="357" w:hanging="357"/>
      </w:pPr>
      <w:rPr>
        <w:rFonts w:hint="default"/>
      </w:rPr>
    </w:lvl>
    <w:lvl w:ilvl="7">
      <w:start w:val="1"/>
      <w:numFmt w:val="lowerRoman"/>
      <w:lvlText w:val="%8."/>
      <w:lvlJc w:val="left"/>
      <w:pPr>
        <w:tabs>
          <w:tab w:val="num" w:pos="357"/>
        </w:tabs>
        <w:ind w:left="714" w:hanging="357"/>
      </w:pPr>
      <w:rPr>
        <w:rFonts w:hint="default"/>
      </w:rPr>
    </w:lvl>
    <w:lvl w:ilvl="8">
      <w:start w:val="1"/>
      <w:numFmt w:val="upperLetter"/>
      <w:lvlText w:val="%9."/>
      <w:lvlJc w:val="left"/>
      <w:pPr>
        <w:ind w:left="1072" w:hanging="358"/>
      </w:pPr>
      <w:rPr>
        <w:rFonts w:hint="default"/>
      </w:rPr>
    </w:lvl>
  </w:abstractNum>
  <w:abstractNum w:abstractNumId="12" w15:restartNumberingAfterBreak="0">
    <w:nsid w:val="7F047E28"/>
    <w:multiLevelType w:val="multilevel"/>
    <w:tmpl w:val="6C323E9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lowerLetter"/>
      <w:pStyle w:val="Subpara1"/>
      <w:lvlText w:val="%7."/>
      <w:lvlJc w:val="left"/>
      <w:pPr>
        <w:ind w:left="227" w:hanging="227"/>
      </w:pPr>
      <w:rPr>
        <w:rFonts w:hint="default"/>
      </w:rPr>
    </w:lvl>
    <w:lvl w:ilvl="7">
      <w:start w:val="1"/>
      <w:numFmt w:val="lowerRoman"/>
      <w:pStyle w:val="Subpara2"/>
      <w:lvlText w:val="%8."/>
      <w:lvlJc w:val="left"/>
      <w:pPr>
        <w:ind w:left="454" w:hanging="227"/>
      </w:pPr>
      <w:rPr>
        <w:rFonts w:hint="default"/>
      </w:rPr>
    </w:lvl>
    <w:lvl w:ilvl="8">
      <w:start w:val="1"/>
      <w:numFmt w:val="upperLetter"/>
      <w:pStyle w:val="Subpara3"/>
      <w:lvlText w:val="%9."/>
      <w:lvlJc w:val="left"/>
      <w:pPr>
        <w:ind w:left="680" w:hanging="226"/>
      </w:pPr>
      <w:rPr>
        <w:rFonts w:hint="default"/>
      </w:rPr>
    </w:lvl>
  </w:abstractNum>
  <w:num w:numId="1" w16cid:durableId="1145783625">
    <w:abstractNumId w:val="7"/>
  </w:num>
  <w:num w:numId="2" w16cid:durableId="729498674">
    <w:abstractNumId w:val="5"/>
  </w:num>
  <w:num w:numId="3" w16cid:durableId="749543729">
    <w:abstractNumId w:val="3"/>
  </w:num>
  <w:num w:numId="4" w16cid:durableId="617839287">
    <w:abstractNumId w:val="2"/>
  </w:num>
  <w:num w:numId="5" w16cid:durableId="712576040">
    <w:abstractNumId w:val="3"/>
    <w:lvlOverride w:ilvl="0">
      <w:startOverride w:val="1"/>
    </w:lvlOverride>
  </w:num>
  <w:num w:numId="6" w16cid:durableId="163589461">
    <w:abstractNumId w:val="2"/>
    <w:lvlOverride w:ilvl="0">
      <w:startOverride w:val="1"/>
    </w:lvlOverride>
  </w:num>
  <w:num w:numId="7" w16cid:durableId="1412697762">
    <w:abstractNumId w:val="3"/>
    <w:lvlOverride w:ilvl="0">
      <w:startOverride w:val="1"/>
    </w:lvlOverride>
  </w:num>
  <w:num w:numId="8" w16cid:durableId="675688984">
    <w:abstractNumId w:val="2"/>
    <w:lvlOverride w:ilvl="0">
      <w:startOverride w:val="1"/>
    </w:lvlOverride>
  </w:num>
  <w:num w:numId="9" w16cid:durableId="1909537734">
    <w:abstractNumId w:val="7"/>
    <w:lvlOverride w:ilvl="0">
      <w:startOverride w:val="1"/>
    </w:lvlOverride>
  </w:num>
  <w:num w:numId="10" w16cid:durableId="1639259256">
    <w:abstractNumId w:val="3"/>
    <w:lvlOverride w:ilvl="0">
      <w:startOverride w:val="1"/>
    </w:lvlOverride>
  </w:num>
  <w:num w:numId="11" w16cid:durableId="1324898173">
    <w:abstractNumId w:val="2"/>
    <w:lvlOverride w:ilvl="0">
      <w:startOverride w:val="1"/>
    </w:lvlOverride>
  </w:num>
  <w:num w:numId="12" w16cid:durableId="9183661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1677631">
    <w:abstractNumId w:val="10"/>
  </w:num>
  <w:num w:numId="14" w16cid:durableId="534735112">
    <w:abstractNumId w:val="9"/>
  </w:num>
  <w:num w:numId="15" w16cid:durableId="1810902500">
    <w:abstractNumId w:val="4"/>
  </w:num>
  <w:num w:numId="16" w16cid:durableId="1866091772">
    <w:abstractNumId w:val="4"/>
  </w:num>
  <w:num w:numId="17" w16cid:durableId="1165784488">
    <w:abstractNumId w:val="1"/>
  </w:num>
  <w:num w:numId="18" w16cid:durableId="2058511576">
    <w:abstractNumId w:val="1"/>
  </w:num>
  <w:num w:numId="19" w16cid:durableId="1036154367">
    <w:abstractNumId w:val="0"/>
  </w:num>
  <w:num w:numId="20" w16cid:durableId="741221740">
    <w:abstractNumId w:val="0"/>
  </w:num>
  <w:num w:numId="21" w16cid:durableId="421804396">
    <w:abstractNumId w:val="11"/>
  </w:num>
  <w:num w:numId="22" w16cid:durableId="465009847">
    <w:abstractNumId w:val="12"/>
  </w:num>
  <w:num w:numId="23" w16cid:durableId="1736464200">
    <w:abstractNumId w:val="8"/>
  </w:num>
  <w:num w:numId="24" w16cid:durableId="646668619">
    <w:abstractNumId w:val="12"/>
  </w:num>
  <w:num w:numId="25" w16cid:durableId="1014304913">
    <w:abstractNumId w:val="8"/>
  </w:num>
  <w:num w:numId="26" w16cid:durableId="1986664464">
    <w:abstractNumId w:val="12"/>
  </w:num>
  <w:num w:numId="27" w16cid:durableId="1131172679">
    <w:abstractNumId w:val="8"/>
  </w:num>
  <w:num w:numId="28" w16cid:durableId="303195066">
    <w:abstractNumId w:val="12"/>
  </w:num>
  <w:num w:numId="29" w16cid:durableId="979112999">
    <w:abstractNumId w:val="8"/>
  </w:num>
  <w:num w:numId="30" w16cid:durableId="1397316787">
    <w:abstractNumId w:val="12"/>
  </w:num>
  <w:num w:numId="31" w16cid:durableId="1138960221">
    <w:abstractNumId w:val="8"/>
  </w:num>
  <w:num w:numId="32" w16cid:durableId="661397517">
    <w:abstractNumId w:val="12"/>
  </w:num>
  <w:num w:numId="33" w16cid:durableId="702097101">
    <w:abstractNumId w:val="8"/>
  </w:num>
  <w:num w:numId="34" w16cid:durableId="1502503523">
    <w:abstractNumId w:val="8"/>
  </w:num>
  <w:num w:numId="35" w16cid:durableId="1902399938">
    <w:abstractNumId w:val="8"/>
  </w:num>
  <w:num w:numId="36" w16cid:durableId="1972398689">
    <w:abstractNumId w:val="8"/>
  </w:num>
  <w:num w:numId="37" w16cid:durableId="588584766">
    <w:abstractNumId w:val="7"/>
  </w:num>
  <w:num w:numId="38" w16cid:durableId="1749842045">
    <w:abstractNumId w:val="7"/>
  </w:num>
  <w:num w:numId="39" w16cid:durableId="142739607">
    <w:abstractNumId w:val="7"/>
  </w:num>
  <w:num w:numId="40" w16cid:durableId="1311715326">
    <w:abstractNumId w:val="4"/>
  </w:num>
  <w:num w:numId="41" w16cid:durableId="1289551891">
    <w:abstractNumId w:val="1"/>
  </w:num>
  <w:num w:numId="42" w16cid:durableId="1706443896">
    <w:abstractNumId w:val="0"/>
  </w:num>
  <w:num w:numId="43" w16cid:durableId="467238771">
    <w:abstractNumId w:val="12"/>
  </w:num>
  <w:num w:numId="44" w16cid:durableId="816075087">
    <w:abstractNumId w:val="12"/>
  </w:num>
  <w:num w:numId="45" w16cid:durableId="664213396">
    <w:abstractNumId w:val="12"/>
  </w:num>
  <w:num w:numId="46" w16cid:durableId="273948307">
    <w:abstractNumId w:val="9"/>
  </w:num>
  <w:num w:numId="47" w16cid:durableId="1770664704">
    <w:abstractNumId w:val="9"/>
  </w:num>
  <w:num w:numId="48" w16cid:durableId="115873527">
    <w:abstractNumId w:val="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AC8"/>
    <w:rsid w:val="00006E52"/>
    <w:rsid w:val="00026794"/>
    <w:rsid w:val="00031AA9"/>
    <w:rsid w:val="00053AF0"/>
    <w:rsid w:val="00071D96"/>
    <w:rsid w:val="0009222C"/>
    <w:rsid w:val="000A678B"/>
    <w:rsid w:val="000A7827"/>
    <w:rsid w:val="000B678A"/>
    <w:rsid w:val="000C04DC"/>
    <w:rsid w:val="000D17D7"/>
    <w:rsid w:val="000D6691"/>
    <w:rsid w:val="000D7492"/>
    <w:rsid w:val="000E6C62"/>
    <w:rsid w:val="000F2B80"/>
    <w:rsid w:val="001038A5"/>
    <w:rsid w:val="00121F25"/>
    <w:rsid w:val="00127B18"/>
    <w:rsid w:val="00136106"/>
    <w:rsid w:val="00193992"/>
    <w:rsid w:val="001A07D4"/>
    <w:rsid w:val="001B3F68"/>
    <w:rsid w:val="001C2C77"/>
    <w:rsid w:val="001D01EC"/>
    <w:rsid w:val="001E1E31"/>
    <w:rsid w:val="001E4462"/>
    <w:rsid w:val="001E55E2"/>
    <w:rsid w:val="001F5FE4"/>
    <w:rsid w:val="002079C3"/>
    <w:rsid w:val="00217619"/>
    <w:rsid w:val="00220542"/>
    <w:rsid w:val="002344C5"/>
    <w:rsid w:val="00240669"/>
    <w:rsid w:val="00241542"/>
    <w:rsid w:val="0024796A"/>
    <w:rsid w:val="00253DF2"/>
    <w:rsid w:val="002574EF"/>
    <w:rsid w:val="002612CC"/>
    <w:rsid w:val="00291C92"/>
    <w:rsid w:val="00292E5C"/>
    <w:rsid w:val="002A34C1"/>
    <w:rsid w:val="002A5AF4"/>
    <w:rsid w:val="002A6386"/>
    <w:rsid w:val="002A699A"/>
    <w:rsid w:val="002B5E02"/>
    <w:rsid w:val="002B6D96"/>
    <w:rsid w:val="002D63C5"/>
    <w:rsid w:val="002F7382"/>
    <w:rsid w:val="003012E3"/>
    <w:rsid w:val="003058F2"/>
    <w:rsid w:val="003244A7"/>
    <w:rsid w:val="00331696"/>
    <w:rsid w:val="00334C3A"/>
    <w:rsid w:val="0035079A"/>
    <w:rsid w:val="003539C4"/>
    <w:rsid w:val="003830CC"/>
    <w:rsid w:val="00391D78"/>
    <w:rsid w:val="00393CEC"/>
    <w:rsid w:val="003B0931"/>
    <w:rsid w:val="003E7684"/>
    <w:rsid w:val="003F253D"/>
    <w:rsid w:val="004112FB"/>
    <w:rsid w:val="00412140"/>
    <w:rsid w:val="00441E66"/>
    <w:rsid w:val="00443CB5"/>
    <w:rsid w:val="00450FAB"/>
    <w:rsid w:val="004572D9"/>
    <w:rsid w:val="004817AD"/>
    <w:rsid w:val="00494E1C"/>
    <w:rsid w:val="004B1AEF"/>
    <w:rsid w:val="004C7A6F"/>
    <w:rsid w:val="004D004D"/>
    <w:rsid w:val="004E533B"/>
    <w:rsid w:val="004E6571"/>
    <w:rsid w:val="004F5F69"/>
    <w:rsid w:val="004F7721"/>
    <w:rsid w:val="00514801"/>
    <w:rsid w:val="00520FFC"/>
    <w:rsid w:val="0052142D"/>
    <w:rsid w:val="00542056"/>
    <w:rsid w:val="00546319"/>
    <w:rsid w:val="0055272C"/>
    <w:rsid w:val="005601BB"/>
    <w:rsid w:val="00567195"/>
    <w:rsid w:val="00570AF4"/>
    <w:rsid w:val="00574E5A"/>
    <w:rsid w:val="00591434"/>
    <w:rsid w:val="005A5D2B"/>
    <w:rsid w:val="005B0A78"/>
    <w:rsid w:val="005D073E"/>
    <w:rsid w:val="005D3223"/>
    <w:rsid w:val="005E5032"/>
    <w:rsid w:val="005F1626"/>
    <w:rsid w:val="005F1674"/>
    <w:rsid w:val="00606C86"/>
    <w:rsid w:val="00611F35"/>
    <w:rsid w:val="00617AB1"/>
    <w:rsid w:val="006373CB"/>
    <w:rsid w:val="00642545"/>
    <w:rsid w:val="0064424F"/>
    <w:rsid w:val="0064570E"/>
    <w:rsid w:val="006564A0"/>
    <w:rsid w:val="00661505"/>
    <w:rsid w:val="00663062"/>
    <w:rsid w:val="00674CAD"/>
    <w:rsid w:val="006768A5"/>
    <w:rsid w:val="006772D8"/>
    <w:rsid w:val="006776C5"/>
    <w:rsid w:val="0068591D"/>
    <w:rsid w:val="006B5E8E"/>
    <w:rsid w:val="006C2166"/>
    <w:rsid w:val="006C4C78"/>
    <w:rsid w:val="006C4D5D"/>
    <w:rsid w:val="006C5E87"/>
    <w:rsid w:val="006E109D"/>
    <w:rsid w:val="006F2296"/>
    <w:rsid w:val="006F276F"/>
    <w:rsid w:val="007015E8"/>
    <w:rsid w:val="00711513"/>
    <w:rsid w:val="00725738"/>
    <w:rsid w:val="00736146"/>
    <w:rsid w:val="00746408"/>
    <w:rsid w:val="00765EBC"/>
    <w:rsid w:val="00766849"/>
    <w:rsid w:val="00770507"/>
    <w:rsid w:val="00780CBF"/>
    <w:rsid w:val="007810CB"/>
    <w:rsid w:val="00783AF7"/>
    <w:rsid w:val="007C2A40"/>
    <w:rsid w:val="007C2E13"/>
    <w:rsid w:val="007C3AC2"/>
    <w:rsid w:val="007C6C6A"/>
    <w:rsid w:val="007E0FF3"/>
    <w:rsid w:val="007E1140"/>
    <w:rsid w:val="007E2412"/>
    <w:rsid w:val="007F4093"/>
    <w:rsid w:val="007F662A"/>
    <w:rsid w:val="00800587"/>
    <w:rsid w:val="00807D9A"/>
    <w:rsid w:val="0081744D"/>
    <w:rsid w:val="0083041D"/>
    <w:rsid w:val="00832099"/>
    <w:rsid w:val="00841E09"/>
    <w:rsid w:val="0084715D"/>
    <w:rsid w:val="00855D7C"/>
    <w:rsid w:val="008577E8"/>
    <w:rsid w:val="00881D34"/>
    <w:rsid w:val="00895206"/>
    <w:rsid w:val="008B4D0A"/>
    <w:rsid w:val="008B6502"/>
    <w:rsid w:val="008C59A5"/>
    <w:rsid w:val="008F222C"/>
    <w:rsid w:val="008F408E"/>
    <w:rsid w:val="00904D26"/>
    <w:rsid w:val="0090718D"/>
    <w:rsid w:val="00914D09"/>
    <w:rsid w:val="00920C8E"/>
    <w:rsid w:val="009357EB"/>
    <w:rsid w:val="009360B7"/>
    <w:rsid w:val="00942B2A"/>
    <w:rsid w:val="00952397"/>
    <w:rsid w:val="00966519"/>
    <w:rsid w:val="009732CB"/>
    <w:rsid w:val="00975B15"/>
    <w:rsid w:val="009B223B"/>
    <w:rsid w:val="009B648C"/>
    <w:rsid w:val="009B7F3B"/>
    <w:rsid w:val="009C22BC"/>
    <w:rsid w:val="009C392D"/>
    <w:rsid w:val="009F5A95"/>
    <w:rsid w:val="00A02F22"/>
    <w:rsid w:val="00A03ED8"/>
    <w:rsid w:val="00A04532"/>
    <w:rsid w:val="00A1012A"/>
    <w:rsid w:val="00A47758"/>
    <w:rsid w:val="00A5358E"/>
    <w:rsid w:val="00A67A25"/>
    <w:rsid w:val="00A820CA"/>
    <w:rsid w:val="00A920D3"/>
    <w:rsid w:val="00A93141"/>
    <w:rsid w:val="00A96BAA"/>
    <w:rsid w:val="00AA2F38"/>
    <w:rsid w:val="00AC4007"/>
    <w:rsid w:val="00AD4E34"/>
    <w:rsid w:val="00AD6C4F"/>
    <w:rsid w:val="00AE6017"/>
    <w:rsid w:val="00AE7EDF"/>
    <w:rsid w:val="00AF3308"/>
    <w:rsid w:val="00AF3BBC"/>
    <w:rsid w:val="00AF59E5"/>
    <w:rsid w:val="00AF5CF5"/>
    <w:rsid w:val="00B01B9F"/>
    <w:rsid w:val="00B04FDB"/>
    <w:rsid w:val="00B3185E"/>
    <w:rsid w:val="00B320AB"/>
    <w:rsid w:val="00B449F0"/>
    <w:rsid w:val="00B641E3"/>
    <w:rsid w:val="00B71751"/>
    <w:rsid w:val="00B76E2F"/>
    <w:rsid w:val="00B81AA6"/>
    <w:rsid w:val="00B918EC"/>
    <w:rsid w:val="00B91B9D"/>
    <w:rsid w:val="00BA7208"/>
    <w:rsid w:val="00BB03C9"/>
    <w:rsid w:val="00BD5AC8"/>
    <w:rsid w:val="00BD7B99"/>
    <w:rsid w:val="00BE1F82"/>
    <w:rsid w:val="00BE4DE1"/>
    <w:rsid w:val="00BF1F32"/>
    <w:rsid w:val="00C2671B"/>
    <w:rsid w:val="00C35295"/>
    <w:rsid w:val="00C404FE"/>
    <w:rsid w:val="00C40EAB"/>
    <w:rsid w:val="00C67F5F"/>
    <w:rsid w:val="00C9183E"/>
    <w:rsid w:val="00CB2680"/>
    <w:rsid w:val="00D02827"/>
    <w:rsid w:val="00D1184B"/>
    <w:rsid w:val="00D20EB0"/>
    <w:rsid w:val="00D55A18"/>
    <w:rsid w:val="00D901AF"/>
    <w:rsid w:val="00D914C5"/>
    <w:rsid w:val="00DA6439"/>
    <w:rsid w:val="00DB2BEC"/>
    <w:rsid w:val="00DB3E94"/>
    <w:rsid w:val="00DB5D3A"/>
    <w:rsid w:val="00DC66D0"/>
    <w:rsid w:val="00DD167D"/>
    <w:rsid w:val="00DD62BF"/>
    <w:rsid w:val="00DE0EA9"/>
    <w:rsid w:val="00DF05A4"/>
    <w:rsid w:val="00DF46A3"/>
    <w:rsid w:val="00E043D6"/>
    <w:rsid w:val="00E1506D"/>
    <w:rsid w:val="00E15856"/>
    <w:rsid w:val="00E20867"/>
    <w:rsid w:val="00E20F3F"/>
    <w:rsid w:val="00E2586A"/>
    <w:rsid w:val="00E31982"/>
    <w:rsid w:val="00E5395B"/>
    <w:rsid w:val="00E555A7"/>
    <w:rsid w:val="00E625F5"/>
    <w:rsid w:val="00E87EFF"/>
    <w:rsid w:val="00E92366"/>
    <w:rsid w:val="00EA614C"/>
    <w:rsid w:val="00EB2899"/>
    <w:rsid w:val="00EB77FD"/>
    <w:rsid w:val="00EC0E03"/>
    <w:rsid w:val="00EC1896"/>
    <w:rsid w:val="00EC3D49"/>
    <w:rsid w:val="00EC4E2E"/>
    <w:rsid w:val="00ED3F03"/>
    <w:rsid w:val="00EE672D"/>
    <w:rsid w:val="00EF3678"/>
    <w:rsid w:val="00F0138F"/>
    <w:rsid w:val="00F0314E"/>
    <w:rsid w:val="00F0379A"/>
    <w:rsid w:val="00F03AF9"/>
    <w:rsid w:val="00F11169"/>
    <w:rsid w:val="00F46386"/>
    <w:rsid w:val="00F63BF1"/>
    <w:rsid w:val="00F64D3D"/>
    <w:rsid w:val="00F650A6"/>
    <w:rsid w:val="00F7666D"/>
    <w:rsid w:val="00F76E76"/>
    <w:rsid w:val="00F9299C"/>
    <w:rsid w:val="00F94E96"/>
    <w:rsid w:val="00F94F21"/>
    <w:rsid w:val="00F95039"/>
    <w:rsid w:val="00FD706A"/>
    <w:rsid w:val="00FE6457"/>
    <w:rsid w:val="00FF7751"/>
    <w:rsid w:val="00FF7E7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003611"/>
  <w15:chartTrackingRefBased/>
  <w15:docId w15:val="{41A0F4D7-73D0-419B-8CCF-9B13AB363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C2166"/>
    <w:pPr>
      <w:spacing w:before="160" w:after="0" w:line="312" w:lineRule="auto"/>
    </w:pPr>
    <w:rPr>
      <w:sz w:val="20"/>
      <w:szCs w:val="18"/>
      <w:lang w:val="en-GB"/>
    </w:rPr>
  </w:style>
  <w:style w:type="paragraph" w:styleId="Heading1">
    <w:name w:val="heading 1"/>
    <w:aliases w:val="Num Heading 1"/>
    <w:basedOn w:val="Normal"/>
    <w:next w:val="Normal"/>
    <w:link w:val="Heading1Char"/>
    <w:uiPriority w:val="1"/>
    <w:qFormat/>
    <w:rsid w:val="003F253D"/>
    <w:pPr>
      <w:keepNext/>
      <w:keepLines/>
      <w:numPr>
        <w:numId w:val="45"/>
      </w:numPr>
      <w:spacing w:before="240" w:line="276" w:lineRule="auto"/>
      <w:outlineLvl w:val="0"/>
    </w:pPr>
    <w:rPr>
      <w:b/>
      <w:caps/>
      <w:color w:val="1ED2E6" w:themeColor="accent1"/>
      <w:sz w:val="24"/>
      <w:szCs w:val="24"/>
    </w:rPr>
  </w:style>
  <w:style w:type="paragraph" w:styleId="Heading2">
    <w:name w:val="heading 2"/>
    <w:aliases w:val="Num Heading 2"/>
    <w:basedOn w:val="Normal"/>
    <w:next w:val="Normal"/>
    <w:link w:val="Heading2Char"/>
    <w:uiPriority w:val="1"/>
    <w:unhideWhenUsed/>
    <w:qFormat/>
    <w:rsid w:val="003F253D"/>
    <w:pPr>
      <w:keepNext/>
      <w:keepLines/>
      <w:numPr>
        <w:ilvl w:val="1"/>
        <w:numId w:val="45"/>
      </w:numPr>
      <w:spacing w:before="120" w:line="276" w:lineRule="auto"/>
      <w:outlineLvl w:val="1"/>
    </w:pPr>
    <w:rPr>
      <w:b/>
      <w:color w:val="1ED2E6" w:themeColor="accent1"/>
      <w:sz w:val="22"/>
      <w:szCs w:val="22"/>
    </w:rPr>
  </w:style>
  <w:style w:type="paragraph" w:styleId="Heading3">
    <w:name w:val="heading 3"/>
    <w:aliases w:val="Num Heading 3"/>
    <w:basedOn w:val="Normal"/>
    <w:next w:val="Normal"/>
    <w:link w:val="Heading3Char"/>
    <w:uiPriority w:val="1"/>
    <w:unhideWhenUsed/>
    <w:qFormat/>
    <w:rsid w:val="003F253D"/>
    <w:pPr>
      <w:keepNext/>
      <w:keepLines/>
      <w:numPr>
        <w:ilvl w:val="2"/>
        <w:numId w:val="45"/>
      </w:numPr>
      <w:spacing w:line="276" w:lineRule="auto"/>
      <w:outlineLvl w:val="2"/>
    </w:pPr>
    <w:rPr>
      <w:bCs/>
      <w:color w:val="1ED2E6" w:themeColor="accent1"/>
      <w:szCs w:val="20"/>
    </w:rPr>
  </w:style>
  <w:style w:type="paragraph" w:styleId="Heading4">
    <w:name w:val="heading 4"/>
    <w:aliases w:val="Num Heading 4"/>
    <w:basedOn w:val="Normal"/>
    <w:next w:val="Normal"/>
    <w:link w:val="Heading4Char"/>
    <w:uiPriority w:val="1"/>
    <w:unhideWhenUsed/>
    <w:qFormat/>
    <w:rsid w:val="003F253D"/>
    <w:pPr>
      <w:keepNext/>
      <w:keepLines/>
      <w:numPr>
        <w:ilvl w:val="3"/>
        <w:numId w:val="45"/>
      </w:numPr>
      <w:spacing w:line="276" w:lineRule="auto"/>
      <w:outlineLvl w:val="3"/>
    </w:pPr>
    <w:rPr>
      <w:bCs/>
      <w:color w:val="5A5B5E" w:themeColor="background2"/>
      <w:szCs w:val="20"/>
    </w:rPr>
  </w:style>
  <w:style w:type="paragraph" w:styleId="Heading5">
    <w:name w:val="heading 5"/>
    <w:aliases w:val="Num Heading 5"/>
    <w:basedOn w:val="Normal"/>
    <w:next w:val="Normal"/>
    <w:link w:val="Heading5Char"/>
    <w:uiPriority w:val="1"/>
    <w:unhideWhenUsed/>
    <w:qFormat/>
    <w:rsid w:val="003F253D"/>
    <w:pPr>
      <w:keepNext/>
      <w:keepLines/>
      <w:numPr>
        <w:ilvl w:val="4"/>
        <w:numId w:val="45"/>
      </w:numPr>
      <w:spacing w:line="276" w:lineRule="auto"/>
      <w:outlineLvl w:val="4"/>
    </w:pPr>
    <w:rPr>
      <w:bCs/>
      <w:color w:val="9B9C9F" w:themeColor="background2" w:themeTint="99"/>
    </w:rPr>
  </w:style>
  <w:style w:type="paragraph" w:styleId="Heading6">
    <w:name w:val="heading 6"/>
    <w:aliases w:val="Num Heading 6"/>
    <w:basedOn w:val="Normal"/>
    <w:next w:val="Normal"/>
    <w:link w:val="Heading6Char"/>
    <w:uiPriority w:val="1"/>
    <w:unhideWhenUsed/>
    <w:qFormat/>
    <w:rsid w:val="003F253D"/>
    <w:pPr>
      <w:keepNext/>
      <w:keepLines/>
      <w:numPr>
        <w:ilvl w:val="5"/>
        <w:numId w:val="45"/>
      </w:numPr>
      <w:spacing w:line="276" w:lineRule="auto"/>
      <w:outlineLvl w:val="5"/>
    </w:pPr>
    <w:rPr>
      <w:bCs/>
      <w:color w:val="BABCBF" w:themeColor="accent6"/>
    </w:rPr>
  </w:style>
  <w:style w:type="paragraph" w:styleId="Heading7">
    <w:name w:val="heading 7"/>
    <w:basedOn w:val="Normal"/>
    <w:next w:val="Normal"/>
    <w:link w:val="Heading7Char"/>
    <w:uiPriority w:val="9"/>
    <w:semiHidden/>
    <w:qFormat/>
    <w:rsid w:val="003F253D"/>
    <w:pPr>
      <w:outlineLvl w:val="6"/>
    </w:pPr>
  </w:style>
  <w:style w:type="paragraph" w:styleId="Heading8">
    <w:name w:val="heading 8"/>
    <w:basedOn w:val="Normal"/>
    <w:next w:val="Normal"/>
    <w:link w:val="Heading8Char"/>
    <w:uiPriority w:val="9"/>
    <w:semiHidden/>
    <w:qFormat/>
    <w:rsid w:val="003F253D"/>
    <w:pPr>
      <w:outlineLvl w:val="7"/>
    </w:pPr>
  </w:style>
  <w:style w:type="paragraph" w:styleId="Heading9">
    <w:name w:val="heading 9"/>
    <w:basedOn w:val="Normal"/>
    <w:next w:val="Normal"/>
    <w:link w:val="Heading9Char"/>
    <w:uiPriority w:val="9"/>
    <w:semiHidden/>
    <w:qFormat/>
    <w:rsid w:val="003F253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B91B9D"/>
    <w:pPr>
      <w:spacing w:before="0" w:line="200" w:lineRule="atLeast"/>
      <w:contextualSpacing/>
    </w:pPr>
    <w:rPr>
      <w:rFonts w:asciiTheme="majorHAnsi" w:eastAsiaTheme="majorEastAsia" w:hAnsiTheme="majorHAnsi" w:cstheme="majorBidi"/>
      <w:b/>
      <w:caps/>
      <w:color w:val="1ED2E6" w:themeColor="accent1"/>
      <w:spacing w:val="-10"/>
      <w:kern w:val="28"/>
      <w:sz w:val="60"/>
      <w:szCs w:val="60"/>
    </w:rPr>
  </w:style>
  <w:style w:type="character" w:customStyle="1" w:styleId="TitleChar">
    <w:name w:val="Title Char"/>
    <w:basedOn w:val="DefaultParagraphFont"/>
    <w:link w:val="Title"/>
    <w:uiPriority w:val="99"/>
    <w:rsid w:val="00B91B9D"/>
    <w:rPr>
      <w:rFonts w:asciiTheme="majorHAnsi" w:eastAsiaTheme="majorEastAsia" w:hAnsiTheme="majorHAnsi" w:cstheme="majorBidi"/>
      <w:b/>
      <w:caps/>
      <w:color w:val="1ED2E6" w:themeColor="accent1"/>
      <w:spacing w:val="-10"/>
      <w:kern w:val="28"/>
      <w:sz w:val="60"/>
      <w:szCs w:val="60"/>
      <w:lang w:val="en-GB"/>
    </w:rPr>
  </w:style>
  <w:style w:type="paragraph" w:styleId="Subtitle">
    <w:name w:val="Subtitle"/>
    <w:basedOn w:val="Normal"/>
    <w:next w:val="Normal"/>
    <w:link w:val="SubtitleChar"/>
    <w:uiPriority w:val="99"/>
    <w:qFormat/>
    <w:rsid w:val="00B91B9D"/>
    <w:pPr>
      <w:numPr>
        <w:ilvl w:val="1"/>
      </w:numPr>
      <w:spacing w:before="0" w:after="960" w:line="400" w:lineRule="exact"/>
    </w:pPr>
    <w:rPr>
      <w:rFonts w:eastAsiaTheme="minorEastAsia"/>
      <w:b/>
      <w:bCs/>
      <w:color w:val="1ED2E6" w:themeColor="accent1"/>
      <w:sz w:val="32"/>
      <w:szCs w:val="32"/>
    </w:rPr>
  </w:style>
  <w:style w:type="character" w:customStyle="1" w:styleId="SubtitleChar">
    <w:name w:val="Subtitle Char"/>
    <w:basedOn w:val="DefaultParagraphFont"/>
    <w:link w:val="Subtitle"/>
    <w:uiPriority w:val="99"/>
    <w:rsid w:val="00B91B9D"/>
    <w:rPr>
      <w:rFonts w:eastAsiaTheme="minorEastAsia"/>
      <w:b/>
      <w:bCs/>
      <w:color w:val="1ED2E6" w:themeColor="accent1"/>
      <w:sz w:val="32"/>
      <w:szCs w:val="32"/>
      <w:lang w:val="en-GB"/>
    </w:rPr>
  </w:style>
  <w:style w:type="character" w:customStyle="1" w:styleId="Heading1Char">
    <w:name w:val="Heading 1 Char"/>
    <w:aliases w:val="Num Heading 1 Char"/>
    <w:basedOn w:val="DefaultParagraphFont"/>
    <w:link w:val="Heading1"/>
    <w:uiPriority w:val="1"/>
    <w:rsid w:val="003F253D"/>
    <w:rPr>
      <w:b/>
      <w:caps/>
      <w:color w:val="1ED2E6" w:themeColor="accent1"/>
      <w:sz w:val="24"/>
      <w:szCs w:val="24"/>
      <w:lang w:val="en-GB"/>
    </w:rPr>
  </w:style>
  <w:style w:type="character" w:customStyle="1" w:styleId="Heading2Char">
    <w:name w:val="Heading 2 Char"/>
    <w:aliases w:val="Num Heading 2 Char"/>
    <w:basedOn w:val="DefaultParagraphFont"/>
    <w:link w:val="Heading2"/>
    <w:uiPriority w:val="1"/>
    <w:rsid w:val="003F253D"/>
    <w:rPr>
      <w:b/>
      <w:color w:val="1ED2E6" w:themeColor="accent1"/>
      <w:lang w:val="en-GB"/>
    </w:rPr>
  </w:style>
  <w:style w:type="character" w:customStyle="1" w:styleId="Heading3Char">
    <w:name w:val="Heading 3 Char"/>
    <w:aliases w:val="Num Heading 3 Char"/>
    <w:basedOn w:val="DefaultParagraphFont"/>
    <w:link w:val="Heading3"/>
    <w:uiPriority w:val="1"/>
    <w:rsid w:val="003F253D"/>
    <w:rPr>
      <w:bCs/>
      <w:color w:val="1ED2E6" w:themeColor="accent1"/>
      <w:sz w:val="20"/>
      <w:szCs w:val="20"/>
      <w:lang w:val="en-GB"/>
    </w:rPr>
  </w:style>
  <w:style w:type="character" w:customStyle="1" w:styleId="Heading4Char">
    <w:name w:val="Heading 4 Char"/>
    <w:aliases w:val="Num Heading 4 Char"/>
    <w:basedOn w:val="DefaultParagraphFont"/>
    <w:link w:val="Heading4"/>
    <w:uiPriority w:val="1"/>
    <w:rsid w:val="003F253D"/>
    <w:rPr>
      <w:bCs/>
      <w:color w:val="5A5B5E" w:themeColor="background2"/>
      <w:sz w:val="20"/>
      <w:szCs w:val="20"/>
      <w:lang w:val="en-GB"/>
    </w:rPr>
  </w:style>
  <w:style w:type="character" w:customStyle="1" w:styleId="Heading5Char">
    <w:name w:val="Heading 5 Char"/>
    <w:aliases w:val="Num Heading 5 Char"/>
    <w:basedOn w:val="DefaultParagraphFont"/>
    <w:link w:val="Heading5"/>
    <w:uiPriority w:val="1"/>
    <w:rsid w:val="003F253D"/>
    <w:rPr>
      <w:bCs/>
      <w:color w:val="9B9C9F" w:themeColor="background2" w:themeTint="99"/>
      <w:sz w:val="20"/>
      <w:szCs w:val="18"/>
      <w:lang w:val="en-GB"/>
    </w:rPr>
  </w:style>
  <w:style w:type="character" w:customStyle="1" w:styleId="Heading6Char">
    <w:name w:val="Heading 6 Char"/>
    <w:aliases w:val="Num Heading 6 Char"/>
    <w:basedOn w:val="DefaultParagraphFont"/>
    <w:link w:val="Heading6"/>
    <w:uiPriority w:val="1"/>
    <w:rsid w:val="003F253D"/>
    <w:rPr>
      <w:bCs/>
      <w:color w:val="BABCBF" w:themeColor="accent6"/>
      <w:sz w:val="20"/>
      <w:szCs w:val="18"/>
      <w:lang w:val="en-GB"/>
    </w:rPr>
  </w:style>
  <w:style w:type="character" w:customStyle="1" w:styleId="Heading7Char">
    <w:name w:val="Heading 7 Char"/>
    <w:basedOn w:val="DefaultParagraphFont"/>
    <w:link w:val="Heading7"/>
    <w:uiPriority w:val="9"/>
    <w:semiHidden/>
    <w:rsid w:val="003F253D"/>
    <w:rPr>
      <w:sz w:val="20"/>
      <w:szCs w:val="18"/>
      <w:lang w:val="en-GB"/>
    </w:rPr>
  </w:style>
  <w:style w:type="character" w:customStyle="1" w:styleId="Heading8Char">
    <w:name w:val="Heading 8 Char"/>
    <w:basedOn w:val="DefaultParagraphFont"/>
    <w:link w:val="Heading8"/>
    <w:uiPriority w:val="9"/>
    <w:semiHidden/>
    <w:rsid w:val="003F253D"/>
    <w:rPr>
      <w:sz w:val="20"/>
      <w:szCs w:val="18"/>
      <w:lang w:val="en-GB"/>
    </w:rPr>
  </w:style>
  <w:style w:type="character" w:customStyle="1" w:styleId="Heading9Char">
    <w:name w:val="Heading 9 Char"/>
    <w:basedOn w:val="DefaultParagraphFont"/>
    <w:link w:val="Heading9"/>
    <w:uiPriority w:val="9"/>
    <w:semiHidden/>
    <w:rsid w:val="003F253D"/>
    <w:rPr>
      <w:sz w:val="20"/>
      <w:szCs w:val="18"/>
      <w:lang w:val="en-GB"/>
    </w:rPr>
  </w:style>
  <w:style w:type="paragraph" w:styleId="ListParagraph">
    <w:name w:val="List Paragraph"/>
    <w:basedOn w:val="Normal"/>
    <w:uiPriority w:val="34"/>
    <w:semiHidden/>
    <w:qFormat/>
    <w:rsid w:val="003F253D"/>
    <w:pPr>
      <w:ind w:left="720"/>
      <w:contextualSpacing/>
    </w:pPr>
  </w:style>
  <w:style w:type="character" w:styleId="Strong">
    <w:name w:val="Strong"/>
    <w:aliases w:val="*Bold"/>
    <w:basedOn w:val="DefaultParagraphFont"/>
    <w:uiPriority w:val="99"/>
    <w:qFormat/>
    <w:rsid w:val="003F253D"/>
    <w:rPr>
      <w:b/>
      <w:bCs/>
    </w:rPr>
  </w:style>
  <w:style w:type="character" w:styleId="Emphasis">
    <w:name w:val="Emphasis"/>
    <w:aliases w:val="*Italics"/>
    <w:basedOn w:val="DefaultParagraphFont"/>
    <w:uiPriority w:val="99"/>
    <w:qFormat/>
    <w:rsid w:val="003F253D"/>
    <w:rPr>
      <w:i/>
      <w:iCs/>
    </w:rPr>
  </w:style>
  <w:style w:type="paragraph" w:styleId="ListBullet">
    <w:name w:val="List Bullet"/>
    <w:basedOn w:val="ListParagraph"/>
    <w:qFormat/>
    <w:rsid w:val="003F253D"/>
    <w:pPr>
      <w:numPr>
        <w:numId w:val="39"/>
      </w:numPr>
    </w:pPr>
    <w:rPr>
      <w:color w:val="5B5D62" w:themeColor="accent6" w:themeShade="80"/>
    </w:rPr>
  </w:style>
  <w:style w:type="paragraph" w:styleId="ListBullet2">
    <w:name w:val="List Bullet 2"/>
    <w:basedOn w:val="Normal"/>
    <w:qFormat/>
    <w:rsid w:val="003F253D"/>
    <w:pPr>
      <w:numPr>
        <w:ilvl w:val="1"/>
        <w:numId w:val="39"/>
      </w:numPr>
      <w:contextualSpacing/>
    </w:pPr>
    <w:rPr>
      <w:color w:val="5B5D62" w:themeColor="accent6" w:themeShade="80"/>
    </w:rPr>
  </w:style>
  <w:style w:type="paragraph" w:styleId="ListBullet3">
    <w:name w:val="List Bullet 3"/>
    <w:basedOn w:val="Normal"/>
    <w:qFormat/>
    <w:rsid w:val="003F253D"/>
    <w:pPr>
      <w:numPr>
        <w:ilvl w:val="2"/>
        <w:numId w:val="39"/>
      </w:numPr>
      <w:contextualSpacing/>
    </w:pPr>
    <w:rPr>
      <w:color w:val="5B5D62" w:themeColor="accent6" w:themeShade="80"/>
    </w:rPr>
  </w:style>
  <w:style w:type="paragraph" w:styleId="Header">
    <w:name w:val="header"/>
    <w:basedOn w:val="Normal"/>
    <w:link w:val="HeaderChar"/>
    <w:uiPriority w:val="99"/>
    <w:unhideWhenUsed/>
    <w:rsid w:val="003F253D"/>
    <w:pPr>
      <w:tabs>
        <w:tab w:val="center" w:pos="4513"/>
        <w:tab w:val="right" w:pos="9026"/>
      </w:tabs>
      <w:spacing w:line="240" w:lineRule="auto"/>
    </w:pPr>
  </w:style>
  <w:style w:type="character" w:customStyle="1" w:styleId="HeaderChar">
    <w:name w:val="Header Char"/>
    <w:basedOn w:val="DefaultParagraphFont"/>
    <w:link w:val="Header"/>
    <w:uiPriority w:val="99"/>
    <w:rsid w:val="003F253D"/>
    <w:rPr>
      <w:sz w:val="20"/>
      <w:szCs w:val="18"/>
      <w:lang w:val="en-GB"/>
    </w:rPr>
  </w:style>
  <w:style w:type="paragraph" w:styleId="Footer">
    <w:name w:val="footer"/>
    <w:basedOn w:val="Normal"/>
    <w:link w:val="FooterChar"/>
    <w:uiPriority w:val="99"/>
    <w:unhideWhenUsed/>
    <w:rsid w:val="003F253D"/>
    <w:pPr>
      <w:pBdr>
        <w:top w:val="single" w:sz="4" w:space="16" w:color="5B5D62" w:themeColor="accent6" w:themeShade="80"/>
      </w:pBdr>
      <w:tabs>
        <w:tab w:val="center" w:pos="4513"/>
        <w:tab w:val="right" w:pos="9026"/>
      </w:tabs>
      <w:spacing w:line="240" w:lineRule="auto"/>
    </w:pPr>
    <w:rPr>
      <w:color w:val="5B5D62" w:themeColor="accent6" w:themeShade="80"/>
      <w:sz w:val="16"/>
    </w:rPr>
  </w:style>
  <w:style w:type="character" w:customStyle="1" w:styleId="FooterChar">
    <w:name w:val="Footer Char"/>
    <w:basedOn w:val="DefaultParagraphFont"/>
    <w:link w:val="Footer"/>
    <w:uiPriority w:val="99"/>
    <w:rsid w:val="003F253D"/>
    <w:rPr>
      <w:color w:val="5B5D62" w:themeColor="accent6" w:themeShade="80"/>
      <w:sz w:val="16"/>
      <w:szCs w:val="18"/>
      <w:lang w:val="en-GB"/>
    </w:rPr>
  </w:style>
  <w:style w:type="paragraph" w:customStyle="1" w:styleId="Subpara1">
    <w:name w:val="Subpara 1"/>
    <w:basedOn w:val="Heading7"/>
    <w:next w:val="Normal"/>
    <w:uiPriority w:val="1"/>
    <w:qFormat/>
    <w:rsid w:val="003F253D"/>
    <w:pPr>
      <w:numPr>
        <w:ilvl w:val="6"/>
        <w:numId w:val="45"/>
      </w:numPr>
      <w:contextualSpacing/>
    </w:pPr>
    <w:rPr>
      <w:color w:val="5B5D62" w:themeColor="accent6" w:themeShade="80"/>
    </w:rPr>
  </w:style>
  <w:style w:type="paragraph" w:customStyle="1" w:styleId="Subpara2">
    <w:name w:val="Subpara 2"/>
    <w:basedOn w:val="Heading8"/>
    <w:next w:val="Normal"/>
    <w:uiPriority w:val="1"/>
    <w:qFormat/>
    <w:rsid w:val="003F253D"/>
    <w:pPr>
      <w:numPr>
        <w:ilvl w:val="7"/>
        <w:numId w:val="45"/>
      </w:numPr>
      <w:contextualSpacing/>
    </w:pPr>
    <w:rPr>
      <w:color w:val="5B5D62" w:themeColor="accent6" w:themeShade="80"/>
    </w:rPr>
  </w:style>
  <w:style w:type="paragraph" w:customStyle="1" w:styleId="Subpara3">
    <w:name w:val="Subpara 3"/>
    <w:basedOn w:val="Heading9"/>
    <w:next w:val="Normal"/>
    <w:uiPriority w:val="1"/>
    <w:qFormat/>
    <w:rsid w:val="003F253D"/>
    <w:pPr>
      <w:numPr>
        <w:ilvl w:val="8"/>
        <w:numId w:val="45"/>
      </w:numPr>
      <w:contextualSpacing/>
    </w:pPr>
    <w:rPr>
      <w:color w:val="5B5D62" w:themeColor="accent6" w:themeShade="80"/>
    </w:rPr>
  </w:style>
  <w:style w:type="table" w:styleId="TableGrid">
    <w:name w:val="Table Grid"/>
    <w:basedOn w:val="TableNormal"/>
    <w:uiPriority w:val="39"/>
    <w:rsid w:val="003F2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Table">
    <w:name w:val="CA_Table"/>
    <w:basedOn w:val="TableNormal"/>
    <w:uiPriority w:val="99"/>
    <w:rsid w:val="00E2586A"/>
    <w:pPr>
      <w:spacing w:after="0" w:line="240" w:lineRule="auto"/>
    </w:pPr>
    <w:tblP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cPr>
      <w:shd w:val="clear" w:color="auto" w:fill="F1F1F2" w:themeFill="accent6" w:themeFillTint="33"/>
    </w:tcPr>
    <w:tblStylePr w:type="firstRow">
      <w:pPr>
        <w:jc w:val="left"/>
      </w:pPr>
      <w:rPr>
        <w:b w:val="0"/>
        <w:caps w:val="0"/>
        <w:smallCaps w:val="0"/>
        <w:color w:val="auto"/>
      </w:rPr>
      <w:tblPr/>
      <w:trPr>
        <w:tblHeader/>
      </w:trPr>
      <w:tcPr>
        <w:shd w:val="clear" w:color="auto" w:fill="1ED2E6" w:themeFill="accent1"/>
        <w:vAlign w:val="bottom"/>
      </w:tcPr>
    </w:tblStylePr>
    <w:tblStylePr w:type="lastRow">
      <w:rPr>
        <w:b/>
      </w:rPr>
    </w:tblStylePr>
    <w:tblStylePr w:type="firstCol">
      <w:tblPr/>
      <w:tcPr>
        <w:shd w:val="clear" w:color="auto" w:fill="C9C9C9"/>
      </w:tcPr>
    </w:tblStylePr>
  </w:style>
  <w:style w:type="paragraph" w:customStyle="1" w:styleId="Tabletext">
    <w:name w:val="Table text"/>
    <w:basedOn w:val="Normal"/>
    <w:uiPriority w:val="2"/>
    <w:qFormat/>
    <w:rsid w:val="003F253D"/>
    <w:pPr>
      <w:spacing w:before="60" w:after="60" w:line="264" w:lineRule="auto"/>
    </w:pPr>
    <w:rPr>
      <w:color w:val="5B5D62" w:themeColor="accent6" w:themeShade="80"/>
    </w:rPr>
  </w:style>
  <w:style w:type="paragraph" w:customStyle="1" w:styleId="Tablenumbers">
    <w:name w:val="Table numbers"/>
    <w:basedOn w:val="Tabletext"/>
    <w:qFormat/>
    <w:rsid w:val="003F253D"/>
    <w:pPr>
      <w:jc w:val="right"/>
    </w:pPr>
  </w:style>
  <w:style w:type="table" w:customStyle="1" w:styleId="CABlank">
    <w:name w:val="CA_Blank"/>
    <w:basedOn w:val="TableNormal"/>
    <w:uiPriority w:val="99"/>
    <w:rsid w:val="003F253D"/>
    <w:pPr>
      <w:spacing w:after="0" w:line="240" w:lineRule="auto"/>
    </w:pPr>
    <w:tblPr>
      <w:tblCellMar>
        <w:left w:w="0" w:type="dxa"/>
        <w:right w:w="0" w:type="dxa"/>
      </w:tblCellMar>
    </w:tblPr>
  </w:style>
  <w:style w:type="paragraph" w:styleId="BodyText">
    <w:name w:val="Body Text"/>
    <w:basedOn w:val="Normal"/>
    <w:link w:val="BodyTextChar"/>
    <w:qFormat/>
    <w:rsid w:val="003F253D"/>
    <w:rPr>
      <w:color w:val="5B5D62" w:themeColor="accent6" w:themeShade="80"/>
    </w:rPr>
  </w:style>
  <w:style w:type="character" w:customStyle="1" w:styleId="BodyTextChar">
    <w:name w:val="Body Text Char"/>
    <w:basedOn w:val="DefaultParagraphFont"/>
    <w:link w:val="BodyText"/>
    <w:rsid w:val="006C2166"/>
    <w:rPr>
      <w:color w:val="5B5D62" w:themeColor="accent6" w:themeShade="80"/>
      <w:sz w:val="20"/>
      <w:szCs w:val="18"/>
      <w:lang w:val="en-GB"/>
    </w:rPr>
  </w:style>
  <w:style w:type="paragraph" w:customStyle="1" w:styleId="Tablenumbersheading">
    <w:name w:val="Table numbers (heading)"/>
    <w:basedOn w:val="Tablenumbers"/>
    <w:qFormat/>
    <w:rsid w:val="003F253D"/>
    <w:rPr>
      <w:b/>
      <w:color w:val="FFFFFF" w:themeColor="background1"/>
    </w:rPr>
  </w:style>
  <w:style w:type="paragraph" w:customStyle="1" w:styleId="Tabletextheading">
    <w:name w:val="Table text (heading)"/>
    <w:basedOn w:val="Tabletext"/>
    <w:uiPriority w:val="2"/>
    <w:qFormat/>
    <w:rsid w:val="003F253D"/>
    <w:rPr>
      <w:b/>
      <w:color w:val="FFFFFF" w:themeColor="background1"/>
    </w:rPr>
  </w:style>
  <w:style w:type="paragraph" w:styleId="NoSpacing">
    <w:name w:val="No Spacing"/>
    <w:uiPriority w:val="3"/>
    <w:qFormat/>
    <w:rsid w:val="003F253D"/>
    <w:pPr>
      <w:spacing w:after="0" w:line="240" w:lineRule="auto"/>
    </w:pPr>
    <w:rPr>
      <w:color w:val="5B5D62" w:themeColor="accent6" w:themeShade="80"/>
      <w:sz w:val="18"/>
      <w:szCs w:val="18"/>
      <w:lang w:val="en-GB"/>
    </w:rPr>
  </w:style>
  <w:style w:type="paragraph" w:customStyle="1" w:styleId="Layoutspacer">
    <w:name w:val="Layout spacer"/>
    <w:basedOn w:val="BodyText"/>
    <w:uiPriority w:val="99"/>
    <w:rsid w:val="003F253D"/>
    <w:pPr>
      <w:spacing w:before="0" w:line="240" w:lineRule="auto"/>
    </w:pPr>
    <w:rPr>
      <w:vanish/>
      <w:color w:val="C00000"/>
    </w:rPr>
  </w:style>
  <w:style w:type="character" w:styleId="PlaceholderText">
    <w:name w:val="Placeholder Text"/>
    <w:basedOn w:val="DefaultParagraphFont"/>
    <w:uiPriority w:val="99"/>
    <w:semiHidden/>
    <w:rsid w:val="003F253D"/>
    <w:rPr>
      <w:color w:val="808080"/>
    </w:rPr>
  </w:style>
  <w:style w:type="paragraph" w:styleId="Caption">
    <w:name w:val="caption"/>
    <w:basedOn w:val="Normal"/>
    <w:next w:val="Normal"/>
    <w:uiPriority w:val="3"/>
    <w:qFormat/>
    <w:rsid w:val="003F253D"/>
    <w:pPr>
      <w:spacing w:before="0" w:after="200" w:line="240" w:lineRule="auto"/>
    </w:pPr>
    <w:rPr>
      <w:iCs/>
      <w:color w:val="1ED2E6" w:themeColor="accent1"/>
    </w:rPr>
  </w:style>
  <w:style w:type="paragraph" w:styleId="TOCHeading">
    <w:name w:val="TOC Heading"/>
    <w:basedOn w:val="Heading1"/>
    <w:next w:val="Normal"/>
    <w:uiPriority w:val="99"/>
    <w:semiHidden/>
    <w:qFormat/>
    <w:rsid w:val="003F253D"/>
    <w:pPr>
      <w:numPr>
        <w:numId w:val="0"/>
      </w:numPr>
      <w:spacing w:before="0" w:after="600" w:line="312" w:lineRule="auto"/>
      <w:outlineLvl w:val="9"/>
    </w:pPr>
    <w:rPr>
      <w:rFonts w:asciiTheme="majorHAnsi" w:eastAsiaTheme="majorEastAsia" w:hAnsiTheme="majorHAnsi" w:cstheme="majorBidi"/>
      <w:caps w:val="0"/>
      <w:sz w:val="60"/>
      <w:szCs w:val="60"/>
    </w:rPr>
  </w:style>
  <w:style w:type="paragraph" w:styleId="TOC1">
    <w:name w:val="toc 1"/>
    <w:basedOn w:val="Normal"/>
    <w:next w:val="Normal"/>
    <w:autoRedefine/>
    <w:uiPriority w:val="39"/>
    <w:semiHidden/>
    <w:rsid w:val="003F253D"/>
    <w:pPr>
      <w:tabs>
        <w:tab w:val="right" w:leader="dot" w:pos="9854"/>
      </w:tabs>
      <w:spacing w:after="40"/>
    </w:pPr>
    <w:rPr>
      <w:b/>
      <w:caps/>
      <w:color w:val="1ED2E6" w:themeColor="accent1"/>
      <w:sz w:val="22"/>
      <w:szCs w:val="22"/>
    </w:rPr>
  </w:style>
  <w:style w:type="paragraph" w:styleId="TOC2">
    <w:name w:val="toc 2"/>
    <w:basedOn w:val="Normal"/>
    <w:next w:val="Normal"/>
    <w:autoRedefine/>
    <w:uiPriority w:val="39"/>
    <w:semiHidden/>
    <w:rsid w:val="003F253D"/>
    <w:pPr>
      <w:tabs>
        <w:tab w:val="left" w:pos="660"/>
        <w:tab w:val="right" w:leader="dot" w:pos="9854"/>
      </w:tabs>
      <w:spacing w:before="40" w:after="40"/>
      <w:ind w:left="180"/>
    </w:pPr>
    <w:rPr>
      <w:color w:val="5B5D62" w:themeColor="accent6" w:themeShade="80"/>
    </w:rPr>
  </w:style>
  <w:style w:type="paragraph" w:styleId="TOC3">
    <w:name w:val="toc 3"/>
    <w:basedOn w:val="Normal"/>
    <w:next w:val="Normal"/>
    <w:autoRedefine/>
    <w:uiPriority w:val="39"/>
    <w:semiHidden/>
    <w:rsid w:val="003F253D"/>
    <w:pPr>
      <w:tabs>
        <w:tab w:val="left" w:pos="1100"/>
        <w:tab w:val="right" w:leader="dot" w:pos="9854"/>
      </w:tabs>
      <w:spacing w:before="40" w:after="40"/>
      <w:ind w:left="360"/>
    </w:pPr>
    <w:rPr>
      <w:color w:val="5B5D62" w:themeColor="accent6" w:themeShade="80"/>
    </w:rPr>
  </w:style>
  <w:style w:type="character" w:styleId="Hyperlink">
    <w:name w:val="Hyperlink"/>
    <w:basedOn w:val="DefaultParagraphFont"/>
    <w:uiPriority w:val="99"/>
    <w:unhideWhenUsed/>
    <w:rsid w:val="003F253D"/>
    <w:rPr>
      <w:color w:val="1ED2E6" w:themeColor="hyperlink"/>
      <w:u w:val="single"/>
    </w:rPr>
  </w:style>
  <w:style w:type="character" w:customStyle="1" w:styleId="Accentcolour1">
    <w:name w:val="*Accent colour 1"/>
    <w:basedOn w:val="DefaultParagraphFont"/>
    <w:uiPriority w:val="99"/>
    <w:qFormat/>
    <w:rsid w:val="003F253D"/>
    <w:rPr>
      <w:color w:val="1ED2E6" w:themeColor="accent1"/>
    </w:rPr>
  </w:style>
  <w:style w:type="character" w:customStyle="1" w:styleId="Accentcolour1bold">
    <w:name w:val="*Accent colour 1 (bold)"/>
    <w:basedOn w:val="Accentcolour1"/>
    <w:uiPriority w:val="99"/>
    <w:qFormat/>
    <w:rsid w:val="003F253D"/>
    <w:rPr>
      <w:b/>
      <w:color w:val="1ED2E6" w:themeColor="accent1"/>
    </w:rPr>
  </w:style>
  <w:style w:type="character" w:customStyle="1" w:styleId="Accentcolour2">
    <w:name w:val="*Accent colour 2"/>
    <w:basedOn w:val="DefaultParagraphFont"/>
    <w:uiPriority w:val="99"/>
    <w:qFormat/>
    <w:rsid w:val="003F253D"/>
    <w:rPr>
      <w:color w:val="28A0BF" w:themeColor="accent2"/>
    </w:rPr>
  </w:style>
  <w:style w:type="character" w:customStyle="1" w:styleId="Accentcolour2bold">
    <w:name w:val="*Accent colour 2 (bold)"/>
    <w:basedOn w:val="Accentcolour2"/>
    <w:uiPriority w:val="99"/>
    <w:qFormat/>
    <w:rsid w:val="003F253D"/>
    <w:rPr>
      <w:b/>
      <w:color w:val="28A0BF" w:themeColor="accent2"/>
    </w:rPr>
  </w:style>
  <w:style w:type="character" w:customStyle="1" w:styleId="Accentcolour3">
    <w:name w:val="*Accent colour 3"/>
    <w:basedOn w:val="DefaultParagraphFont"/>
    <w:uiPriority w:val="99"/>
    <w:qFormat/>
    <w:rsid w:val="003F253D"/>
    <w:rPr>
      <w:color w:val="025B7A" w:themeColor="accent3"/>
    </w:rPr>
  </w:style>
  <w:style w:type="character" w:customStyle="1" w:styleId="Accentcolour3bold">
    <w:name w:val="*Accent colour 3 (bold)"/>
    <w:basedOn w:val="Accentcolour3"/>
    <w:uiPriority w:val="99"/>
    <w:qFormat/>
    <w:rsid w:val="003F253D"/>
    <w:rPr>
      <w:b/>
      <w:color w:val="025B7A" w:themeColor="accent3"/>
    </w:rPr>
  </w:style>
  <w:style w:type="character" w:customStyle="1" w:styleId="Accentcolour4">
    <w:name w:val="*Accent colour 4"/>
    <w:basedOn w:val="DefaultParagraphFont"/>
    <w:uiPriority w:val="99"/>
    <w:qFormat/>
    <w:rsid w:val="003F253D"/>
    <w:rPr>
      <w:color w:val="063246" w:themeColor="accent4"/>
    </w:rPr>
  </w:style>
  <w:style w:type="character" w:customStyle="1" w:styleId="Accentcolour4bold">
    <w:name w:val="*Accent colour 4 (bold)"/>
    <w:basedOn w:val="Accentcolour4"/>
    <w:uiPriority w:val="99"/>
    <w:qFormat/>
    <w:rsid w:val="003F253D"/>
    <w:rPr>
      <w:b/>
      <w:color w:val="063246" w:themeColor="accent4"/>
    </w:rPr>
  </w:style>
  <w:style w:type="character" w:customStyle="1" w:styleId="Accentcolour5">
    <w:name w:val="*Accent colour 5"/>
    <w:basedOn w:val="DefaultParagraphFont"/>
    <w:uiPriority w:val="99"/>
    <w:qFormat/>
    <w:rsid w:val="003F253D"/>
    <w:rPr>
      <w:color w:val="92E9F5" w:themeColor="accent5"/>
    </w:rPr>
  </w:style>
  <w:style w:type="character" w:customStyle="1" w:styleId="Accentcolour5bold">
    <w:name w:val="*Accent colour 5 (bold)"/>
    <w:basedOn w:val="Accentcolour5"/>
    <w:uiPriority w:val="99"/>
    <w:qFormat/>
    <w:rsid w:val="003F253D"/>
    <w:rPr>
      <w:b/>
      <w:color w:val="92E9F5" w:themeColor="accent5"/>
    </w:rPr>
  </w:style>
  <w:style w:type="character" w:customStyle="1" w:styleId="Accentcolour6">
    <w:name w:val="*Accent colour 6"/>
    <w:basedOn w:val="DefaultParagraphFont"/>
    <w:uiPriority w:val="99"/>
    <w:qFormat/>
    <w:rsid w:val="003F253D"/>
    <w:rPr>
      <w:color w:val="BABCBF" w:themeColor="accent6"/>
    </w:rPr>
  </w:style>
  <w:style w:type="character" w:customStyle="1" w:styleId="Accentcolour6bold">
    <w:name w:val="*Accent colour 6 (bold)"/>
    <w:basedOn w:val="Accentcolour6"/>
    <w:uiPriority w:val="99"/>
    <w:qFormat/>
    <w:rsid w:val="003F253D"/>
    <w:rPr>
      <w:b/>
      <w:color w:val="BABCBF" w:themeColor="accent6"/>
    </w:rPr>
  </w:style>
  <w:style w:type="character" w:customStyle="1" w:styleId="ALLCAPS">
    <w:name w:val="*ALL CAPS"/>
    <w:basedOn w:val="DefaultParagraphFont"/>
    <w:uiPriority w:val="99"/>
    <w:qFormat/>
    <w:rsid w:val="003F253D"/>
    <w:rPr>
      <w:caps/>
      <w:smallCaps w:val="0"/>
    </w:rPr>
  </w:style>
  <w:style w:type="character" w:customStyle="1" w:styleId="Subscript">
    <w:name w:val="*Subscript"/>
    <w:basedOn w:val="DefaultParagraphFont"/>
    <w:uiPriority w:val="99"/>
    <w:qFormat/>
    <w:rsid w:val="003F253D"/>
    <w:rPr>
      <w:vertAlign w:val="subscript"/>
    </w:rPr>
  </w:style>
  <w:style w:type="character" w:customStyle="1" w:styleId="Superscript">
    <w:name w:val="*Superscript"/>
    <w:basedOn w:val="DefaultParagraphFont"/>
    <w:uiPriority w:val="99"/>
    <w:qFormat/>
    <w:rsid w:val="003F253D"/>
    <w:rPr>
      <w:vertAlign w:val="superscript"/>
    </w:rPr>
  </w:style>
  <w:style w:type="paragraph" w:styleId="Quote">
    <w:name w:val="Quote"/>
    <w:basedOn w:val="BodyText"/>
    <w:next w:val="Normal"/>
    <w:link w:val="QuoteChar"/>
    <w:uiPriority w:val="3"/>
    <w:qFormat/>
    <w:rsid w:val="003F253D"/>
    <w:pPr>
      <w:framePr w:w="3402" w:hSpace="454" w:wrap="around" w:vAnchor="text" w:hAnchor="margin" w:xAlign="right" w:y="1"/>
      <w:pBdr>
        <w:top w:val="dotted" w:sz="6" w:space="12" w:color="auto"/>
        <w:bottom w:val="dotted" w:sz="6" w:space="4" w:color="auto"/>
      </w:pBdr>
      <w:spacing w:after="160" w:line="264" w:lineRule="auto"/>
    </w:pPr>
    <w:rPr>
      <w:b/>
      <w:bCs/>
      <w:sz w:val="24"/>
      <w:szCs w:val="24"/>
    </w:rPr>
  </w:style>
  <w:style w:type="character" w:customStyle="1" w:styleId="QuoteChar">
    <w:name w:val="Quote Char"/>
    <w:basedOn w:val="DefaultParagraphFont"/>
    <w:link w:val="Quote"/>
    <w:uiPriority w:val="3"/>
    <w:rsid w:val="006C2166"/>
    <w:rPr>
      <w:b/>
      <w:bCs/>
      <w:color w:val="5B5D62" w:themeColor="accent6" w:themeShade="80"/>
      <w:sz w:val="24"/>
      <w:szCs w:val="24"/>
      <w:lang w:val="en-GB"/>
    </w:rPr>
  </w:style>
  <w:style w:type="paragraph" w:customStyle="1" w:styleId="Tablenotesorsource">
    <w:name w:val="Table notes or source"/>
    <w:basedOn w:val="BodyText"/>
    <w:qFormat/>
    <w:rsid w:val="003F253D"/>
    <w:pPr>
      <w:numPr>
        <w:numId w:val="47"/>
      </w:numPr>
    </w:pPr>
    <w:rPr>
      <w:sz w:val="16"/>
      <w:szCs w:val="16"/>
    </w:rPr>
  </w:style>
  <w:style w:type="paragraph" w:customStyle="1" w:styleId="Tablenotenumbers">
    <w:name w:val="Table note numbers"/>
    <w:basedOn w:val="BodyText"/>
    <w:qFormat/>
    <w:rsid w:val="003F253D"/>
    <w:pPr>
      <w:numPr>
        <w:ilvl w:val="1"/>
        <w:numId w:val="47"/>
      </w:numPr>
      <w:spacing w:before="40" w:after="40"/>
    </w:pPr>
    <w:rPr>
      <w:sz w:val="16"/>
      <w:szCs w:val="16"/>
    </w:rPr>
  </w:style>
  <w:style w:type="character" w:customStyle="1" w:styleId="Whitetext">
    <w:name w:val="*White text"/>
    <w:basedOn w:val="DefaultParagraphFont"/>
    <w:uiPriority w:val="99"/>
    <w:qFormat/>
    <w:rsid w:val="003F253D"/>
    <w:rPr>
      <w:color w:val="FFFFFF" w:themeColor="background1"/>
    </w:rPr>
  </w:style>
  <w:style w:type="character" w:customStyle="1" w:styleId="Companyfooter">
    <w:name w:val="*Company footer"/>
    <w:basedOn w:val="Accentcolour1bold"/>
    <w:uiPriority w:val="99"/>
    <w:qFormat/>
    <w:rsid w:val="003F253D"/>
    <w:rPr>
      <w:b/>
      <w:caps/>
      <w:color w:val="1ED2E6" w:themeColor="accent1"/>
    </w:rPr>
  </w:style>
  <w:style w:type="paragraph" w:styleId="ListNumber">
    <w:name w:val="List Number"/>
    <w:basedOn w:val="Normal"/>
    <w:qFormat/>
    <w:rsid w:val="002A699A"/>
    <w:pPr>
      <w:numPr>
        <w:numId w:val="40"/>
      </w:numPr>
      <w:ind w:left="227" w:hanging="227"/>
      <w:contextualSpacing/>
    </w:pPr>
    <w:rPr>
      <w:color w:val="5B5D62" w:themeColor="accent6" w:themeShade="80"/>
    </w:rPr>
  </w:style>
  <w:style w:type="paragraph" w:styleId="ListNumber2">
    <w:name w:val="List Number 2"/>
    <w:basedOn w:val="Normal"/>
    <w:qFormat/>
    <w:rsid w:val="002A699A"/>
    <w:pPr>
      <w:numPr>
        <w:numId w:val="41"/>
      </w:numPr>
      <w:ind w:left="454" w:hanging="227"/>
      <w:contextualSpacing/>
    </w:pPr>
    <w:rPr>
      <w:color w:val="5B5D62" w:themeColor="accent6" w:themeShade="80"/>
    </w:rPr>
  </w:style>
  <w:style w:type="paragraph" w:styleId="ListNumber3">
    <w:name w:val="List Number 3"/>
    <w:basedOn w:val="Normal"/>
    <w:qFormat/>
    <w:rsid w:val="002A699A"/>
    <w:pPr>
      <w:numPr>
        <w:numId w:val="42"/>
      </w:numPr>
      <w:ind w:left="681" w:hanging="227"/>
      <w:contextualSpacing/>
    </w:pPr>
    <w:rPr>
      <w:color w:val="5B5D62" w:themeColor="accent6" w:themeShade="80"/>
    </w:rPr>
  </w:style>
  <w:style w:type="paragraph" w:customStyle="1" w:styleId="Addressandname">
    <w:name w:val="Address and name"/>
    <w:basedOn w:val="BodyText"/>
    <w:uiPriority w:val="99"/>
    <w:semiHidden/>
    <w:rsid w:val="003F253D"/>
    <w:pPr>
      <w:spacing w:after="480" w:line="264" w:lineRule="auto"/>
      <w:contextualSpacing/>
    </w:pPr>
    <w:rPr>
      <w:color w:val="1ED2E6" w:themeColor="accent1"/>
    </w:rPr>
  </w:style>
  <w:style w:type="paragraph" w:customStyle="1" w:styleId="Header1">
    <w:name w:val="Header 1"/>
    <w:basedOn w:val="Heading1"/>
    <w:next w:val="Normal"/>
    <w:uiPriority w:val="1"/>
    <w:qFormat/>
    <w:rsid w:val="003F253D"/>
    <w:pPr>
      <w:numPr>
        <w:numId w:val="0"/>
      </w:numPr>
    </w:pPr>
  </w:style>
  <w:style w:type="paragraph" w:customStyle="1" w:styleId="AppendixHeading1">
    <w:name w:val="Appendix Heading 1"/>
    <w:basedOn w:val="Header1"/>
    <w:uiPriority w:val="2"/>
    <w:qFormat/>
    <w:rsid w:val="003F253D"/>
    <w:pPr>
      <w:numPr>
        <w:numId w:val="36"/>
      </w:numPr>
    </w:pPr>
  </w:style>
  <w:style w:type="paragraph" w:customStyle="1" w:styleId="Header2">
    <w:name w:val="Header 2"/>
    <w:basedOn w:val="Heading2"/>
    <w:next w:val="Normal"/>
    <w:uiPriority w:val="1"/>
    <w:qFormat/>
    <w:rsid w:val="003F253D"/>
    <w:pPr>
      <w:numPr>
        <w:ilvl w:val="0"/>
        <w:numId w:val="0"/>
      </w:numPr>
    </w:pPr>
  </w:style>
  <w:style w:type="paragraph" w:customStyle="1" w:styleId="AppendixHeading2">
    <w:name w:val="Appendix Heading 2"/>
    <w:basedOn w:val="Header2"/>
    <w:uiPriority w:val="2"/>
    <w:qFormat/>
    <w:rsid w:val="003F253D"/>
    <w:pPr>
      <w:numPr>
        <w:ilvl w:val="1"/>
        <w:numId w:val="36"/>
      </w:numPr>
    </w:pPr>
  </w:style>
  <w:style w:type="paragraph" w:customStyle="1" w:styleId="Header3">
    <w:name w:val="Header 3"/>
    <w:basedOn w:val="Heading3"/>
    <w:next w:val="Normal"/>
    <w:uiPriority w:val="1"/>
    <w:qFormat/>
    <w:rsid w:val="003F253D"/>
    <w:pPr>
      <w:numPr>
        <w:ilvl w:val="0"/>
        <w:numId w:val="0"/>
      </w:numPr>
    </w:pPr>
  </w:style>
  <w:style w:type="paragraph" w:customStyle="1" w:styleId="AppendixHeading3">
    <w:name w:val="Appendix Heading 3"/>
    <w:basedOn w:val="Header3"/>
    <w:uiPriority w:val="2"/>
    <w:qFormat/>
    <w:rsid w:val="003F253D"/>
    <w:pPr>
      <w:numPr>
        <w:ilvl w:val="2"/>
        <w:numId w:val="36"/>
      </w:numPr>
    </w:pPr>
  </w:style>
  <w:style w:type="paragraph" w:customStyle="1" w:styleId="Header4">
    <w:name w:val="Header 4"/>
    <w:basedOn w:val="Heading4"/>
    <w:next w:val="Normal"/>
    <w:uiPriority w:val="1"/>
    <w:qFormat/>
    <w:rsid w:val="003F253D"/>
    <w:pPr>
      <w:numPr>
        <w:ilvl w:val="0"/>
        <w:numId w:val="0"/>
      </w:numPr>
    </w:pPr>
  </w:style>
  <w:style w:type="paragraph" w:customStyle="1" w:styleId="AppendixHeading4">
    <w:name w:val="Appendix Heading 4"/>
    <w:basedOn w:val="Header4"/>
    <w:uiPriority w:val="2"/>
    <w:qFormat/>
    <w:rsid w:val="003F253D"/>
    <w:pPr>
      <w:numPr>
        <w:ilvl w:val="3"/>
        <w:numId w:val="36"/>
      </w:numPr>
    </w:pPr>
  </w:style>
  <w:style w:type="paragraph" w:customStyle="1" w:styleId="Header5">
    <w:name w:val="Header 5"/>
    <w:basedOn w:val="Heading5"/>
    <w:next w:val="Normal"/>
    <w:uiPriority w:val="1"/>
    <w:qFormat/>
    <w:rsid w:val="003F253D"/>
    <w:pPr>
      <w:numPr>
        <w:ilvl w:val="0"/>
        <w:numId w:val="0"/>
      </w:numPr>
    </w:pPr>
  </w:style>
  <w:style w:type="paragraph" w:customStyle="1" w:styleId="AppendixHeading5">
    <w:name w:val="Appendix Heading 5"/>
    <w:basedOn w:val="Header5"/>
    <w:uiPriority w:val="2"/>
    <w:qFormat/>
    <w:rsid w:val="003F253D"/>
    <w:pPr>
      <w:numPr>
        <w:ilvl w:val="4"/>
        <w:numId w:val="36"/>
      </w:numPr>
    </w:pPr>
  </w:style>
  <w:style w:type="paragraph" w:customStyle="1" w:styleId="Header6">
    <w:name w:val="Header 6"/>
    <w:basedOn w:val="Heading6"/>
    <w:next w:val="Normal"/>
    <w:uiPriority w:val="1"/>
    <w:qFormat/>
    <w:rsid w:val="003F253D"/>
    <w:pPr>
      <w:numPr>
        <w:ilvl w:val="0"/>
        <w:numId w:val="0"/>
      </w:numPr>
    </w:pPr>
  </w:style>
  <w:style w:type="paragraph" w:customStyle="1" w:styleId="AppendixHeading6">
    <w:name w:val="Appendix Heading 6"/>
    <w:basedOn w:val="Header6"/>
    <w:uiPriority w:val="2"/>
    <w:qFormat/>
    <w:rsid w:val="003F253D"/>
    <w:pPr>
      <w:numPr>
        <w:ilvl w:val="5"/>
        <w:numId w:val="36"/>
      </w:numPr>
    </w:pPr>
  </w:style>
  <w:style w:type="paragraph" w:customStyle="1" w:styleId="AppendixPara1">
    <w:name w:val="Appendix Para 1"/>
    <w:basedOn w:val="Tabletext"/>
    <w:uiPriority w:val="2"/>
    <w:qFormat/>
    <w:rsid w:val="003F253D"/>
    <w:pPr>
      <w:numPr>
        <w:ilvl w:val="6"/>
        <w:numId w:val="36"/>
      </w:numPr>
      <w:spacing w:before="160" w:after="0" w:line="312" w:lineRule="auto"/>
      <w:contextualSpacing/>
    </w:pPr>
  </w:style>
  <w:style w:type="paragraph" w:customStyle="1" w:styleId="AppendixPara2">
    <w:name w:val="Appendix Para 2"/>
    <w:basedOn w:val="Tabletext"/>
    <w:uiPriority w:val="2"/>
    <w:qFormat/>
    <w:rsid w:val="003F253D"/>
    <w:pPr>
      <w:numPr>
        <w:ilvl w:val="7"/>
        <w:numId w:val="36"/>
      </w:numPr>
      <w:spacing w:before="160" w:after="0" w:line="312" w:lineRule="auto"/>
      <w:contextualSpacing/>
    </w:pPr>
  </w:style>
  <w:style w:type="paragraph" w:customStyle="1" w:styleId="AppendixPara3">
    <w:name w:val="Appendix Para 3"/>
    <w:basedOn w:val="Tabletext"/>
    <w:uiPriority w:val="2"/>
    <w:qFormat/>
    <w:rsid w:val="003F253D"/>
    <w:pPr>
      <w:numPr>
        <w:ilvl w:val="8"/>
        <w:numId w:val="36"/>
      </w:numPr>
      <w:spacing w:before="160" w:after="0" w:line="312" w:lineRule="auto"/>
      <w:contextualSpacing/>
    </w:pPr>
  </w:style>
  <w:style w:type="paragraph" w:customStyle="1" w:styleId="Coverdate">
    <w:name w:val="Cover date"/>
    <w:basedOn w:val="Normal"/>
    <w:uiPriority w:val="99"/>
    <w:rsid w:val="003F253D"/>
    <w:rPr>
      <w:b/>
      <w:bCs/>
      <w:color w:val="888C91" w:themeColor="accent6" w:themeShade="BF"/>
      <w:sz w:val="24"/>
      <w:szCs w:val="24"/>
    </w:rPr>
  </w:style>
  <w:style w:type="paragraph" w:styleId="Date">
    <w:name w:val="Date"/>
    <w:basedOn w:val="BodyText"/>
    <w:next w:val="Normal"/>
    <w:link w:val="DateChar"/>
    <w:uiPriority w:val="99"/>
    <w:semiHidden/>
    <w:rsid w:val="003F253D"/>
    <w:pPr>
      <w:spacing w:before="0" w:after="480"/>
    </w:pPr>
  </w:style>
  <w:style w:type="character" w:customStyle="1" w:styleId="DateChar">
    <w:name w:val="Date Char"/>
    <w:basedOn w:val="DefaultParagraphFont"/>
    <w:link w:val="Date"/>
    <w:uiPriority w:val="99"/>
    <w:semiHidden/>
    <w:rsid w:val="006C2166"/>
    <w:rPr>
      <w:color w:val="5B5D62" w:themeColor="accent6" w:themeShade="80"/>
      <w:sz w:val="20"/>
      <w:szCs w:val="18"/>
      <w:lang w:val="en-GB"/>
    </w:rPr>
  </w:style>
  <w:style w:type="paragraph" w:customStyle="1" w:styleId="Letterheadheader">
    <w:name w:val="Letterhead header"/>
    <w:basedOn w:val="Addressandname"/>
    <w:uiPriority w:val="99"/>
    <w:semiHidden/>
    <w:rsid w:val="003F253D"/>
    <w:pPr>
      <w:spacing w:after="0"/>
      <w:contextualSpacing w:val="0"/>
    </w:pPr>
  </w:style>
  <w:style w:type="paragraph" w:styleId="Signature">
    <w:name w:val="Signature"/>
    <w:basedOn w:val="BodyText"/>
    <w:link w:val="SignatureChar"/>
    <w:uiPriority w:val="99"/>
    <w:semiHidden/>
    <w:rsid w:val="003F253D"/>
    <w:pPr>
      <w:spacing w:before="1200" w:line="240" w:lineRule="auto"/>
      <w:contextualSpacing/>
    </w:pPr>
  </w:style>
  <w:style w:type="character" w:customStyle="1" w:styleId="SignatureChar">
    <w:name w:val="Signature Char"/>
    <w:basedOn w:val="DefaultParagraphFont"/>
    <w:link w:val="Signature"/>
    <w:uiPriority w:val="99"/>
    <w:semiHidden/>
    <w:rsid w:val="006C2166"/>
    <w:rPr>
      <w:color w:val="5B5D62" w:themeColor="accent6" w:themeShade="80"/>
      <w:sz w:val="20"/>
      <w:szCs w:val="18"/>
      <w:lang w:val="en-GB"/>
    </w:rPr>
  </w:style>
  <w:style w:type="paragraph" w:customStyle="1" w:styleId="Signoff">
    <w:name w:val="Sign off"/>
    <w:basedOn w:val="Signature"/>
    <w:uiPriority w:val="99"/>
    <w:semiHidden/>
    <w:rsid w:val="003F253D"/>
    <w:pPr>
      <w:spacing w:before="360"/>
    </w:pPr>
  </w:style>
  <w:style w:type="paragraph" w:customStyle="1" w:styleId="Subject">
    <w:name w:val="Subject"/>
    <w:basedOn w:val="BodyText"/>
    <w:uiPriority w:val="99"/>
    <w:semiHidden/>
    <w:rsid w:val="003F253D"/>
    <w:pPr>
      <w:spacing w:after="160"/>
    </w:pPr>
    <w:rPr>
      <w:color w:val="1ED2E6" w:themeColor="accent1"/>
      <w:szCs w:val="16"/>
    </w:rPr>
  </w:style>
  <w:style w:type="character" w:customStyle="1" w:styleId="SubBulletPointsChar">
    <w:name w:val="Sub Bullet Points Char"/>
    <w:basedOn w:val="DefaultParagraphFont"/>
    <w:link w:val="SubBulletPoints"/>
    <w:locked/>
    <w:rsid w:val="00725738"/>
    <w:rPr>
      <w:color w:val="5A5B5E" w:themeColor="text1"/>
    </w:rPr>
  </w:style>
  <w:style w:type="paragraph" w:customStyle="1" w:styleId="SubBulletPoints">
    <w:name w:val="Sub Bullet Points"/>
    <w:basedOn w:val="Normal"/>
    <w:link w:val="SubBulletPointsChar"/>
    <w:qFormat/>
    <w:rsid w:val="00725738"/>
    <w:pPr>
      <w:numPr>
        <w:ilvl w:val="2"/>
        <w:numId w:val="48"/>
      </w:numPr>
      <w:spacing w:before="60" w:line="276" w:lineRule="auto"/>
      <w:ind w:left="709" w:hanging="142"/>
    </w:pPr>
    <w:rPr>
      <w:color w:val="5A5B5E" w:themeColor="text1"/>
      <w:sz w:val="22"/>
      <w:szCs w:val="22"/>
      <w:lang w:val="en-AU"/>
    </w:rPr>
  </w:style>
  <w:style w:type="character" w:styleId="UnresolvedMention">
    <w:name w:val="Unresolved Mention"/>
    <w:basedOn w:val="DefaultParagraphFont"/>
    <w:uiPriority w:val="99"/>
    <w:semiHidden/>
    <w:unhideWhenUsed/>
    <w:rsid w:val="007257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99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enturafm.com.au/media/1729/ventura-fsg-update-nov.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olai.Bull\AppData\Roaming\Microsoft\Templates\CA_document%20with%20block%20head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3CC21ACF6E4E99B52AC27508EFA7F4"/>
        <w:category>
          <w:name w:val="General"/>
          <w:gallery w:val="placeholder"/>
        </w:category>
        <w:types>
          <w:type w:val="bbPlcHdr"/>
        </w:types>
        <w:behaviors>
          <w:behavior w:val="content"/>
        </w:behaviors>
        <w:guid w:val="{0E27471C-A675-4E82-B735-065D15D7DBB8}"/>
      </w:docPartPr>
      <w:docPartBody>
        <w:p w:rsidR="00F258B9" w:rsidRDefault="00F258B9">
          <w:pPr>
            <w:pStyle w:val="0F3CC21ACF6E4E99B52AC27508EFA7F4"/>
          </w:pPr>
          <w:r w:rsidRPr="00A0416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gsana New">
    <w:altName w:val="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8B9"/>
    <w:rsid w:val="00663DD0"/>
    <w:rsid w:val="00E576F3"/>
    <w:rsid w:val="00F258B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F3CC21ACF6E4E99B52AC27508EFA7F4">
    <w:name w:val="0F3CC21ACF6E4E99B52AC27508EFA7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A (primary colours)">
      <a:dk1>
        <a:srgbClr val="5A5B5E"/>
      </a:dk1>
      <a:lt1>
        <a:sysClr val="window" lastClr="FFFFFF"/>
      </a:lt1>
      <a:dk2>
        <a:srgbClr val="063246"/>
      </a:dk2>
      <a:lt2>
        <a:srgbClr val="5A5B5E"/>
      </a:lt2>
      <a:accent1>
        <a:srgbClr val="1ED2E6"/>
      </a:accent1>
      <a:accent2>
        <a:srgbClr val="28A0BF"/>
      </a:accent2>
      <a:accent3>
        <a:srgbClr val="025B7A"/>
      </a:accent3>
      <a:accent4>
        <a:srgbClr val="063246"/>
      </a:accent4>
      <a:accent5>
        <a:srgbClr val="92E9F5"/>
      </a:accent5>
      <a:accent6>
        <a:srgbClr val="BABCBF"/>
      </a:accent6>
      <a:hlink>
        <a:srgbClr val="1ED2E6"/>
      </a:hlink>
      <a:folHlink>
        <a:srgbClr val="28A0BF"/>
      </a:folHlink>
    </a:clrScheme>
    <a:fontScheme name="CA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9525">
          <a:solidFill>
            <a:schemeClr val="tx1">
              <a:lumMod val="50000"/>
            </a:schemeClr>
          </a:solidFill>
          <a:prstDash val="sysDot"/>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sion_x0020_test xmlns="829623c0-46fb-43a5-bae2-543d7ba09c02" xsi:nil="true"/>
    <_Flow_SignoffStatus xmlns="829623c0-46fb-43a5-bae2-543d7ba09c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F428D8453BCA448CC2F35DB62A4E39" ma:contentTypeVersion="14" ma:contentTypeDescription="Create a new document." ma:contentTypeScope="" ma:versionID="315f3b31ab2642905711564fdeb50534">
  <xsd:schema xmlns:xsd="http://www.w3.org/2001/XMLSchema" xmlns:xs="http://www.w3.org/2001/XMLSchema" xmlns:p="http://schemas.microsoft.com/office/2006/metadata/properties" xmlns:ns2="829623c0-46fb-43a5-bae2-543d7ba09c02" xmlns:ns3="4481cb67-3781-40ef-adc9-f07a04a9ac7a" targetNamespace="http://schemas.microsoft.com/office/2006/metadata/properties" ma:root="true" ma:fieldsID="92082199c60e4133e202374974d9dbce" ns2:_="" ns3:_="">
    <xsd:import namespace="829623c0-46fb-43a5-bae2-543d7ba09c02"/>
    <xsd:import namespace="4481cb67-3781-40ef-adc9-f07a04a9ac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_Flow_SignoffStatus" minOccurs="0"/>
                <xsd:element ref="ns2:Version_x0020_test"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623c0-46fb-43a5-bae2-543d7ba09c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_Flow_SignoffStatus" ma:index="12" nillable="true" ma:displayName="Sign-off status" ma:internalName="Sign_x002d_off_x0020_status">
      <xsd:simpleType>
        <xsd:restriction base="dms:Text"/>
      </xsd:simpleType>
    </xsd:element>
    <xsd:element name="Version_x0020_test" ma:index="13" nillable="true" ma:displayName="Version test" ma:format="Dropdown" ma:internalName="Version_x0020_test" ma:percentage="FALSE">
      <xsd:simpleType>
        <xsd:restriction base="dms:Number"/>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81cb67-3781-40ef-adc9-f07a04a9ac7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A1552-D2CE-4209-A20D-1185E92D9450}">
  <ds:schemaRefs>
    <ds:schemaRef ds:uri="http://schemas.microsoft.com/office/2006/metadata/properties"/>
    <ds:schemaRef ds:uri="http://schemas.microsoft.com/office/infopath/2007/PartnerControls"/>
    <ds:schemaRef ds:uri="829623c0-46fb-43a5-bae2-543d7ba09c02"/>
  </ds:schemaRefs>
</ds:datastoreItem>
</file>

<file path=customXml/itemProps2.xml><?xml version="1.0" encoding="utf-8"?>
<ds:datastoreItem xmlns:ds="http://schemas.openxmlformats.org/officeDocument/2006/customXml" ds:itemID="{F83EC388-D461-4A1A-A1A9-B37EA39107F3}">
  <ds:schemaRefs>
    <ds:schemaRef ds:uri="http://schemas.microsoft.com/sharepoint/v3/contenttype/forms"/>
  </ds:schemaRefs>
</ds:datastoreItem>
</file>

<file path=customXml/itemProps3.xml><?xml version="1.0" encoding="utf-8"?>
<ds:datastoreItem xmlns:ds="http://schemas.openxmlformats.org/officeDocument/2006/customXml" ds:itemID="{56166171-A3EA-4862-93F5-167414CD7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623c0-46fb-43a5-bae2-543d7ba09c02"/>
    <ds:schemaRef ds:uri="4481cb67-3781-40ef-adc9-f07a04a9a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9F729D-E269-447F-B52F-4E21B4A68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CA_document with block header</Template>
  <TotalTime>0</TotalTime>
  <Pages>3</Pages>
  <Words>895</Words>
  <Characters>5108</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Understanding the recent market volatility</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the recent market volatility</dc:title>
  <dc:subject/>
  <dc:creator>Nikolai Bull</dc:creator>
  <cp:keywords/>
  <dc:description/>
  <cp:lastModifiedBy>Nikolai Bull</cp:lastModifiedBy>
  <cp:revision>2</cp:revision>
  <dcterms:created xsi:type="dcterms:W3CDTF">2022-05-05T23:50:00Z</dcterms:created>
  <dcterms:modified xsi:type="dcterms:W3CDTF">2022-05-05T23:50:00Z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0x0101000BF428D8453BCA448CC2F35DB62A4E39</vt:lpwstr>
  </property>
</Properties>
</file>