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924315" w:displacedByCustomXml="next"/>
    <w:bookmarkStart w:id="1" w:name="_Hlk36461553" w:displacedByCustomXml="next"/>
    <w:sdt>
      <w:sdtPr>
        <w:alias w:val="Title"/>
        <w:tag w:val=""/>
        <w:id w:val="-702250857"/>
        <w:placeholder>
          <w:docPart w:val="3FC2145D16DE4D0C9C71E54B9CC5E78F"/>
        </w:placeholder>
        <w:dataBinding w:prefixMappings="xmlns:ns0='http://purl.org/dc/elements/1.1/' xmlns:ns1='http://schemas.openxmlformats.org/package/2006/metadata/core-properties' " w:xpath="/ns1:coreProperties[1]/ns0:title[1]" w:storeItemID="{6C3C8BC8-F283-45AE-878A-BAB7291924A1}"/>
        <w:text/>
      </w:sdtPr>
      <w:sdtEndPr/>
      <w:sdtContent>
        <w:p w14:paraId="221CA37F" w14:textId="3966D2AA" w:rsidR="005D073E" w:rsidRPr="005D073E" w:rsidRDefault="0049013D" w:rsidP="005D073E">
          <w:pPr>
            <w:pStyle w:val="Title"/>
          </w:pPr>
          <w:r>
            <w:t>Market and Economic Update</w:t>
          </w:r>
        </w:p>
      </w:sdtContent>
    </w:sdt>
    <w:p w14:paraId="3FB902F2" w14:textId="6C030B9A" w:rsidR="005D073E" w:rsidRPr="005D073E" w:rsidRDefault="00F569B2" w:rsidP="005D073E">
      <w:pPr>
        <w:pStyle w:val="Subtitle"/>
      </w:pPr>
      <w:r>
        <w:t>March</w:t>
      </w:r>
      <w:r w:rsidR="00BC724B">
        <w:t xml:space="preserve"> Quarter</w:t>
      </w:r>
      <w:r w:rsidR="00E635DA">
        <w:t xml:space="preserve"> 202</w:t>
      </w:r>
      <w:r w:rsidR="00A5002A">
        <w:t>2</w:t>
      </w:r>
    </w:p>
    <w:p w14:paraId="6A62585D" w14:textId="77777777" w:rsidR="00E635DA" w:rsidRDefault="00E635DA" w:rsidP="00C67F5F">
      <w:pPr>
        <w:pStyle w:val="Heading1"/>
        <w:sectPr w:rsidR="00E635DA" w:rsidSect="0068225B">
          <w:footerReference w:type="default" r:id="rId11"/>
          <w:headerReference w:type="first" r:id="rId12"/>
          <w:footerReference w:type="first" r:id="rId13"/>
          <w:pgSz w:w="11906" w:h="16838" w:code="9"/>
          <w:pgMar w:top="992" w:right="1021" w:bottom="1701" w:left="1021" w:header="284" w:footer="794" w:gutter="0"/>
          <w:cols w:space="708"/>
          <w:titlePg/>
          <w:docGrid w:linePitch="360"/>
        </w:sectPr>
      </w:pPr>
    </w:p>
    <w:bookmarkEnd w:id="0"/>
    <w:p w14:paraId="4D7C607C" w14:textId="2AC8D4EA" w:rsidR="005E73A2" w:rsidRDefault="00F64C7D" w:rsidP="005E73A2">
      <w:pPr>
        <w:pStyle w:val="Heading1"/>
      </w:pPr>
      <w:r>
        <w:rPr>
          <w:noProof/>
        </w:rPr>
        <w:drawing>
          <wp:anchor distT="0" distB="0" distL="114300" distR="114300" simplePos="0" relativeHeight="251672064" behindDoc="0" locked="0" layoutInCell="1" allowOverlap="1" wp14:anchorId="1E54702C" wp14:editId="1F55FA16">
            <wp:simplePos x="0" y="0"/>
            <wp:positionH relativeFrom="column">
              <wp:posOffset>-177441</wp:posOffset>
            </wp:positionH>
            <wp:positionV relativeFrom="paragraph">
              <wp:posOffset>501346</wp:posOffset>
            </wp:positionV>
            <wp:extent cx="3352800" cy="2514234"/>
            <wp:effectExtent l="0" t="0" r="0" b="635"/>
            <wp:wrapTopAndBottom/>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10;&#10;Description automatically generated"/>
                    <pic:cNvPicPr/>
                  </pic:nvPicPr>
                  <pic:blipFill>
                    <a:blip r:embed="rId14"/>
                    <a:stretch>
                      <a:fillRect/>
                    </a:stretch>
                  </pic:blipFill>
                  <pic:spPr>
                    <a:xfrm>
                      <a:off x="0" y="0"/>
                      <a:ext cx="3352800" cy="2514234"/>
                    </a:xfrm>
                    <a:prstGeom prst="rect">
                      <a:avLst/>
                    </a:prstGeom>
                  </pic:spPr>
                </pic:pic>
              </a:graphicData>
            </a:graphic>
          </wp:anchor>
        </w:drawing>
      </w:r>
      <w:r w:rsidR="00E635DA">
        <w:t>Markets in Review</w:t>
      </w:r>
    </w:p>
    <w:p w14:paraId="42672F5F" w14:textId="2DF1BFF3" w:rsidR="00604064" w:rsidRDefault="003B5D3E" w:rsidP="003F623B">
      <w:pPr>
        <w:jc w:val="both"/>
        <w:rPr>
          <w:noProof/>
        </w:rPr>
      </w:pPr>
      <w:r>
        <w:rPr>
          <w:noProof/>
        </w:rPr>
        <w:drawing>
          <wp:anchor distT="0" distB="0" distL="114300" distR="114300" simplePos="0" relativeHeight="251678208" behindDoc="1" locked="0" layoutInCell="1" allowOverlap="1" wp14:anchorId="6103181E" wp14:editId="322E9286">
            <wp:simplePos x="0" y="0"/>
            <wp:positionH relativeFrom="column">
              <wp:posOffset>3352165</wp:posOffset>
            </wp:positionH>
            <wp:positionV relativeFrom="paragraph">
              <wp:posOffset>3162935</wp:posOffset>
            </wp:positionV>
            <wp:extent cx="3190875" cy="2392680"/>
            <wp:effectExtent l="0" t="0" r="9525" b="7620"/>
            <wp:wrapTopAndBottom/>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15"/>
                    <a:stretch>
                      <a:fillRect/>
                    </a:stretch>
                  </pic:blipFill>
                  <pic:spPr>
                    <a:xfrm>
                      <a:off x="0" y="0"/>
                      <a:ext cx="3190875" cy="2392680"/>
                    </a:xfrm>
                    <a:prstGeom prst="rect">
                      <a:avLst/>
                    </a:prstGeom>
                  </pic:spPr>
                </pic:pic>
              </a:graphicData>
            </a:graphic>
            <wp14:sizeRelH relativeFrom="margin">
              <wp14:pctWidth>0</wp14:pctWidth>
            </wp14:sizeRelH>
            <wp14:sizeRelV relativeFrom="margin">
              <wp14:pctHeight>0</wp14:pctHeight>
            </wp14:sizeRelV>
          </wp:anchor>
        </w:drawing>
      </w:r>
      <w:r w:rsidR="005F3A98">
        <w:rPr>
          <w:noProof/>
        </w:rPr>
        <w:t>Positive news was difficult to come by in the first quarter of calend</w:t>
      </w:r>
      <w:r w:rsidR="00703ED9">
        <w:rPr>
          <w:noProof/>
        </w:rPr>
        <w:t>a</w:t>
      </w:r>
      <w:r w:rsidR="005F3A98">
        <w:rPr>
          <w:noProof/>
        </w:rPr>
        <w:t xml:space="preserve">r year 2022. </w:t>
      </w:r>
      <w:r w:rsidR="00875DB3">
        <w:rPr>
          <w:noProof/>
        </w:rPr>
        <w:t>Interest rates, inflation and war</w:t>
      </w:r>
      <w:r w:rsidR="000F6BB9">
        <w:rPr>
          <w:noProof/>
        </w:rPr>
        <w:t xml:space="preserve"> </w:t>
      </w:r>
      <w:r w:rsidR="005F3A98">
        <w:rPr>
          <w:noProof/>
        </w:rPr>
        <w:t xml:space="preserve">were the main topics that </w:t>
      </w:r>
      <w:r w:rsidR="000F6BB9">
        <w:rPr>
          <w:noProof/>
        </w:rPr>
        <w:t xml:space="preserve">culminated in a down quarter for Europe, The United States and Emerging Markets. </w:t>
      </w:r>
      <w:r w:rsidR="005F3A98">
        <w:rPr>
          <w:noProof/>
        </w:rPr>
        <w:t xml:space="preserve">This was </w:t>
      </w:r>
      <w:r w:rsidR="00DF05D3">
        <w:rPr>
          <w:noProof/>
        </w:rPr>
        <w:t>the worst</w:t>
      </w:r>
      <w:r w:rsidR="005F3A98">
        <w:rPr>
          <w:noProof/>
        </w:rPr>
        <w:t xml:space="preserve"> quarterly loss since the beginning of the pandemic for Europe and </w:t>
      </w:r>
      <w:r w:rsidR="009D568C">
        <w:rPr>
          <w:noProof/>
        </w:rPr>
        <w:t>t</w:t>
      </w:r>
      <w:r w:rsidR="005F3A98">
        <w:rPr>
          <w:noProof/>
        </w:rPr>
        <w:t xml:space="preserve">he US. </w:t>
      </w:r>
      <w:r w:rsidR="00DF05D3">
        <w:rPr>
          <w:noProof/>
        </w:rPr>
        <w:t>Australia remained a safe</w:t>
      </w:r>
      <w:r w:rsidR="00703ED9">
        <w:rPr>
          <w:noProof/>
        </w:rPr>
        <w:t xml:space="preserve"> </w:t>
      </w:r>
      <w:r w:rsidR="00DF05D3">
        <w:rPr>
          <w:noProof/>
        </w:rPr>
        <w:t>haven trade due to relatively higher weights of materials, energy and financials companies</w:t>
      </w:r>
      <w:r w:rsidR="007E3564">
        <w:rPr>
          <w:noProof/>
        </w:rPr>
        <w:t xml:space="preserve"> in the market relative to other countries. </w:t>
      </w:r>
    </w:p>
    <w:p w14:paraId="76C10220" w14:textId="68882E56" w:rsidR="00604064" w:rsidRDefault="00604064" w:rsidP="003F623B">
      <w:pPr>
        <w:jc w:val="both"/>
        <w:rPr>
          <w:noProof/>
        </w:rPr>
      </w:pPr>
      <w:r>
        <w:rPr>
          <w:noProof/>
        </w:rPr>
        <w:t>Australia returned 0.3% on the quarter, The United States fell 7.</w:t>
      </w:r>
      <w:r w:rsidR="00DE3040">
        <w:rPr>
          <w:noProof/>
        </w:rPr>
        <w:t>7</w:t>
      </w:r>
      <w:r>
        <w:rPr>
          <w:noProof/>
        </w:rPr>
        <w:t xml:space="preserve">%, </w:t>
      </w:r>
      <w:r w:rsidR="00DE3040">
        <w:rPr>
          <w:noProof/>
        </w:rPr>
        <w:t>Emerging Markets</w:t>
      </w:r>
      <w:r>
        <w:rPr>
          <w:noProof/>
        </w:rPr>
        <w:t xml:space="preserve"> also fell 11.</w:t>
      </w:r>
      <w:r w:rsidR="00DE3040">
        <w:rPr>
          <w:noProof/>
        </w:rPr>
        <w:t>5%, whilst Europe was the worst performing market with a significant 17.4% drop.</w:t>
      </w:r>
      <w:r w:rsidR="00C46E4E">
        <w:rPr>
          <w:rStyle w:val="FootnoteReference"/>
          <w:noProof/>
        </w:rPr>
        <w:footnoteReference w:id="1"/>
      </w:r>
      <w:r w:rsidR="00DE3040">
        <w:rPr>
          <w:noProof/>
        </w:rPr>
        <w:t xml:space="preserve"> </w:t>
      </w:r>
    </w:p>
    <w:p w14:paraId="5716E51C" w14:textId="69814B4B" w:rsidR="00DE3040" w:rsidRDefault="00DE3040" w:rsidP="003F623B">
      <w:pPr>
        <w:jc w:val="both"/>
        <w:rPr>
          <w:noProof/>
        </w:rPr>
      </w:pPr>
      <w:r>
        <w:rPr>
          <w:noProof/>
        </w:rPr>
        <w:t xml:space="preserve">Europe has been the most impacted equity market on the quarter due to the continued </w:t>
      </w:r>
      <w:bookmarkStart w:id="2" w:name="_Hlk100735784"/>
      <w:r>
        <w:rPr>
          <w:noProof/>
        </w:rPr>
        <w:t xml:space="preserve">fallout </w:t>
      </w:r>
      <w:bookmarkEnd w:id="2"/>
      <w:r>
        <w:rPr>
          <w:noProof/>
        </w:rPr>
        <w:t>from the war in Ukraine.</w:t>
      </w:r>
      <w:r w:rsidR="00CD379E">
        <w:rPr>
          <w:noProof/>
        </w:rPr>
        <w:t xml:space="preserve"> Europe imports 60% of its energy from Russia and therefore remains the most at-risk region for disruptions amou</w:t>
      </w:r>
      <w:r w:rsidR="003857D9">
        <w:rPr>
          <w:noProof/>
        </w:rPr>
        <w:t>nt</w:t>
      </w:r>
      <w:r w:rsidR="00CD379E">
        <w:rPr>
          <w:noProof/>
        </w:rPr>
        <w:t>ing from this war</w:t>
      </w:r>
      <w:r w:rsidR="00A5242D">
        <w:rPr>
          <w:noProof/>
        </w:rPr>
        <w:t>.</w:t>
      </w:r>
      <w:r w:rsidR="00C46E4E">
        <w:rPr>
          <w:rStyle w:val="FootnoteReference"/>
          <w:noProof/>
        </w:rPr>
        <w:footnoteReference w:id="2"/>
      </w:r>
      <w:r w:rsidR="00A5242D">
        <w:rPr>
          <w:noProof/>
        </w:rPr>
        <w:t xml:space="preserve"> </w:t>
      </w:r>
    </w:p>
    <w:p w14:paraId="2B1C5B66" w14:textId="08388743" w:rsidR="003857D9" w:rsidRDefault="003857D9" w:rsidP="003F623B">
      <w:pPr>
        <w:jc w:val="both"/>
        <w:rPr>
          <w:noProof/>
        </w:rPr>
      </w:pPr>
      <w:r>
        <w:rPr>
          <w:noProof/>
        </w:rPr>
        <w:drawing>
          <wp:inline distT="0" distB="0" distL="0" distR="0" wp14:anchorId="7BA9C0A5" wp14:editId="76ADC128">
            <wp:extent cx="3112860" cy="2333625"/>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16"/>
                    <a:stretch>
                      <a:fillRect/>
                    </a:stretch>
                  </pic:blipFill>
                  <pic:spPr>
                    <a:xfrm>
                      <a:off x="0" y="0"/>
                      <a:ext cx="3113775" cy="2334311"/>
                    </a:xfrm>
                    <a:prstGeom prst="rect">
                      <a:avLst/>
                    </a:prstGeom>
                  </pic:spPr>
                </pic:pic>
              </a:graphicData>
            </a:graphic>
          </wp:inline>
        </w:drawing>
      </w:r>
    </w:p>
    <w:p w14:paraId="18F5B4D8" w14:textId="2E4B4C22" w:rsidR="00320AB5" w:rsidRDefault="00457EAC" w:rsidP="003F623B">
      <w:pPr>
        <w:jc w:val="both"/>
        <w:rPr>
          <w:noProof/>
        </w:rPr>
      </w:pPr>
      <w:r>
        <w:rPr>
          <w:noProof/>
        </w:rPr>
        <w:t xml:space="preserve">Value companies </w:t>
      </w:r>
      <w:r w:rsidR="00AB298E">
        <w:rPr>
          <w:noProof/>
        </w:rPr>
        <w:t>(companies with lower valuation ratios/</w:t>
      </w:r>
      <w:r w:rsidR="00D52510">
        <w:rPr>
          <w:noProof/>
        </w:rPr>
        <w:t xml:space="preserve">mature </w:t>
      </w:r>
      <w:r w:rsidR="00AB298E">
        <w:rPr>
          <w:noProof/>
        </w:rPr>
        <w:t>companies)</w:t>
      </w:r>
      <w:r w:rsidR="003857D9">
        <w:rPr>
          <w:noProof/>
        </w:rPr>
        <w:t xml:space="preserve"> continue</w:t>
      </w:r>
      <w:r w:rsidR="00D52510">
        <w:rPr>
          <w:noProof/>
        </w:rPr>
        <w:t>d</w:t>
      </w:r>
      <w:r w:rsidR="003857D9">
        <w:rPr>
          <w:noProof/>
        </w:rPr>
        <w:t xml:space="preserve"> to outperform growth</w:t>
      </w:r>
      <w:r w:rsidR="00AB298E">
        <w:rPr>
          <w:noProof/>
        </w:rPr>
        <w:t xml:space="preserve"> (companies with high valuation ratios/new companies</w:t>
      </w:r>
      <w:r w:rsidR="00D52510">
        <w:rPr>
          <w:noProof/>
        </w:rPr>
        <w:t xml:space="preserve"> with a strong growth runway/often don’t pay dividends or are yet to make profits</w:t>
      </w:r>
      <w:r w:rsidR="00AB298E">
        <w:rPr>
          <w:noProof/>
        </w:rPr>
        <w:t>)</w:t>
      </w:r>
      <w:r w:rsidR="00B10F72">
        <w:rPr>
          <w:noProof/>
        </w:rPr>
        <w:t xml:space="preserve">. </w:t>
      </w:r>
    </w:p>
    <w:p w14:paraId="4E8BFBA2" w14:textId="4BB9B215" w:rsidR="00B10F72" w:rsidRDefault="00B10F72" w:rsidP="003F623B">
      <w:pPr>
        <w:jc w:val="both"/>
        <w:rPr>
          <w:noProof/>
        </w:rPr>
      </w:pPr>
      <w:r>
        <w:rPr>
          <w:noProof/>
        </w:rPr>
        <w:t>This is a</w:t>
      </w:r>
      <w:r w:rsidR="003857D9">
        <w:rPr>
          <w:noProof/>
        </w:rPr>
        <w:t xml:space="preserve"> distinct difference to the previous few years </w:t>
      </w:r>
      <w:r w:rsidR="009645B0">
        <w:rPr>
          <w:noProof/>
        </w:rPr>
        <w:t xml:space="preserve">in which the economic environment has been </w:t>
      </w:r>
      <w:r w:rsidR="00703ED9" w:rsidRPr="00AB298E">
        <w:rPr>
          <w:noProof/>
        </w:rPr>
        <w:t>conducive</w:t>
      </w:r>
      <w:r w:rsidR="009645B0">
        <w:rPr>
          <w:noProof/>
        </w:rPr>
        <w:t xml:space="preserve"> to growth outperformance</w:t>
      </w:r>
      <w:r>
        <w:rPr>
          <w:noProof/>
        </w:rPr>
        <w:t xml:space="preserve"> as low rates, low inflation and low economic growth aided the growth of technology and healthcare. </w:t>
      </w:r>
      <w:r w:rsidR="005E7918">
        <w:rPr>
          <w:noProof/>
        </w:rPr>
        <w:t xml:space="preserve">The overall performance since the market bottom of the early </w:t>
      </w:r>
      <w:r w:rsidR="005E7918">
        <w:rPr>
          <w:noProof/>
        </w:rPr>
        <w:lastRenderedPageBreak/>
        <w:t xml:space="preserve">2020 market </w:t>
      </w:r>
      <w:r w:rsidR="00320AB5">
        <w:rPr>
          <w:noProof/>
        </w:rPr>
        <w:drawing>
          <wp:anchor distT="0" distB="0" distL="114300" distR="114300" simplePos="0" relativeHeight="251675136" behindDoc="0" locked="0" layoutInCell="1" allowOverlap="1" wp14:anchorId="41BF7FC6" wp14:editId="68CE9512">
            <wp:simplePos x="0" y="0"/>
            <wp:positionH relativeFrom="column">
              <wp:posOffset>3352165</wp:posOffset>
            </wp:positionH>
            <wp:positionV relativeFrom="paragraph">
              <wp:posOffset>0</wp:posOffset>
            </wp:positionV>
            <wp:extent cx="3269615" cy="2209800"/>
            <wp:effectExtent l="0" t="0" r="6985" b="0"/>
            <wp:wrapTopAndBottom/>
            <wp:docPr id="17" name="Picture 1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10;&#10;Description automatically generated"/>
                    <pic:cNvPicPr/>
                  </pic:nvPicPr>
                  <pic:blipFill>
                    <a:blip r:embed="rId17"/>
                    <a:stretch>
                      <a:fillRect/>
                    </a:stretch>
                  </pic:blipFill>
                  <pic:spPr>
                    <a:xfrm>
                      <a:off x="0" y="0"/>
                      <a:ext cx="3269615" cy="2209800"/>
                    </a:xfrm>
                    <a:prstGeom prst="rect">
                      <a:avLst/>
                    </a:prstGeom>
                  </pic:spPr>
                </pic:pic>
              </a:graphicData>
            </a:graphic>
            <wp14:sizeRelH relativeFrom="margin">
              <wp14:pctWidth>0</wp14:pctWidth>
            </wp14:sizeRelH>
            <wp14:sizeRelV relativeFrom="margin">
              <wp14:pctHeight>0</wp14:pctHeight>
            </wp14:sizeRelV>
          </wp:anchor>
        </w:drawing>
      </w:r>
      <w:r w:rsidR="005E7918">
        <w:rPr>
          <w:noProof/>
        </w:rPr>
        <w:t xml:space="preserve">crash is now equal between the two factors, as seen </w:t>
      </w:r>
      <w:r w:rsidR="002509A8">
        <w:rPr>
          <w:noProof/>
        </w:rPr>
        <w:t>above</w:t>
      </w:r>
      <w:r w:rsidR="005E7918">
        <w:rPr>
          <w:noProof/>
        </w:rPr>
        <w:t>.</w:t>
      </w:r>
      <w:r w:rsidR="00320AB5">
        <w:rPr>
          <w:rStyle w:val="FootnoteReference"/>
          <w:noProof/>
        </w:rPr>
        <w:footnoteReference w:id="3"/>
      </w:r>
      <w:r w:rsidR="005E7918">
        <w:rPr>
          <w:noProof/>
        </w:rPr>
        <w:t xml:space="preserve"> </w:t>
      </w:r>
    </w:p>
    <w:p w14:paraId="6FFD7A7A" w14:textId="5DB0EBC9" w:rsidR="002E2A10" w:rsidRPr="002E2A10" w:rsidRDefault="002509A8" w:rsidP="003F623B">
      <w:pPr>
        <w:pStyle w:val="Heading2"/>
        <w:numPr>
          <w:ilvl w:val="0"/>
          <w:numId w:val="0"/>
        </w:numPr>
        <w:jc w:val="both"/>
        <w:rPr>
          <w:lang w:val="en-AU"/>
        </w:rPr>
      </w:pPr>
      <w:r w:rsidRPr="00C46E4E">
        <w:rPr>
          <w:noProof/>
          <w:lang w:val="en-AU"/>
        </w:rPr>
        <w:drawing>
          <wp:anchor distT="0" distB="0" distL="114300" distR="114300" simplePos="0" relativeHeight="251674112" behindDoc="0" locked="0" layoutInCell="1" allowOverlap="1" wp14:anchorId="232DBD47" wp14:editId="7ABEA0CF">
            <wp:simplePos x="0" y="0"/>
            <wp:positionH relativeFrom="column">
              <wp:posOffset>-20320</wp:posOffset>
            </wp:positionH>
            <wp:positionV relativeFrom="paragraph">
              <wp:posOffset>341630</wp:posOffset>
            </wp:positionV>
            <wp:extent cx="3248025" cy="2435225"/>
            <wp:effectExtent l="0" t="0" r="9525" b="3175"/>
            <wp:wrapTopAndBottom/>
            <wp:docPr id="10" name="Picture 1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line chart&#10;&#10;Description automatically generated"/>
                    <pic:cNvPicPr/>
                  </pic:nvPicPr>
                  <pic:blipFill>
                    <a:blip r:embed="rId18"/>
                    <a:stretch>
                      <a:fillRect/>
                    </a:stretch>
                  </pic:blipFill>
                  <pic:spPr>
                    <a:xfrm>
                      <a:off x="0" y="0"/>
                      <a:ext cx="3248025" cy="2435225"/>
                    </a:xfrm>
                    <a:prstGeom prst="rect">
                      <a:avLst/>
                    </a:prstGeom>
                  </pic:spPr>
                </pic:pic>
              </a:graphicData>
            </a:graphic>
            <wp14:sizeRelH relativeFrom="margin">
              <wp14:pctWidth>0</wp14:pctWidth>
            </wp14:sizeRelH>
            <wp14:sizeRelV relativeFrom="margin">
              <wp14:pctHeight>0</wp14:pctHeight>
            </wp14:sizeRelV>
          </wp:anchor>
        </w:drawing>
      </w:r>
      <w:r w:rsidR="002E2A10" w:rsidRPr="007D0114">
        <w:rPr>
          <w:lang w:val="en-AU"/>
        </w:rPr>
        <w:t>1.1 Australian Sector Returns</w:t>
      </w:r>
    </w:p>
    <w:p w14:paraId="7D8A9803" w14:textId="00D66D1C" w:rsidR="002E2A10" w:rsidRDefault="00703ED9" w:rsidP="003F623B">
      <w:pPr>
        <w:jc w:val="both"/>
        <w:rPr>
          <w:noProof/>
          <w:lang w:val="en-AU"/>
        </w:rPr>
      </w:pPr>
      <w:r w:rsidRPr="00C46E4E">
        <w:rPr>
          <w:noProof/>
          <w:lang w:val="en-AU"/>
        </w:rPr>
        <w:t>Significant</w:t>
      </w:r>
      <w:r w:rsidR="002E2A10" w:rsidRPr="002E2A10">
        <w:rPr>
          <w:noProof/>
          <w:lang w:val="en-AU"/>
        </w:rPr>
        <w:t xml:space="preserve"> divergence in sector returns</w:t>
      </w:r>
      <w:r w:rsidR="00946260">
        <w:rPr>
          <w:noProof/>
          <w:lang w:val="en-AU"/>
        </w:rPr>
        <w:t xml:space="preserve"> continues to play out in this unique market environment. Sectors that </w:t>
      </w:r>
      <w:r w:rsidR="00042635">
        <w:rPr>
          <w:noProof/>
          <w:lang w:val="en-AU"/>
        </w:rPr>
        <w:t>have historically performed well during periods of elevated inflation and rising rates are showing their value with energy</w:t>
      </w:r>
      <w:r w:rsidR="00A5242D">
        <w:rPr>
          <w:noProof/>
          <w:lang w:val="en-AU"/>
        </w:rPr>
        <w:t xml:space="preserve"> (20%)</w:t>
      </w:r>
      <w:r w:rsidR="00042635">
        <w:rPr>
          <w:noProof/>
          <w:lang w:val="en-AU"/>
        </w:rPr>
        <w:t xml:space="preserve">, </w:t>
      </w:r>
      <w:r w:rsidR="006F5668">
        <w:rPr>
          <w:noProof/>
          <w:lang w:val="en-AU"/>
        </w:rPr>
        <w:t>materials</w:t>
      </w:r>
      <w:r w:rsidR="00042635">
        <w:rPr>
          <w:noProof/>
          <w:lang w:val="en-AU"/>
        </w:rPr>
        <w:t xml:space="preserve"> </w:t>
      </w:r>
      <w:r w:rsidR="00A5242D">
        <w:rPr>
          <w:noProof/>
          <w:lang w:val="en-AU"/>
        </w:rPr>
        <w:t xml:space="preserve">(9.4%) </w:t>
      </w:r>
      <w:r w:rsidR="00042635">
        <w:rPr>
          <w:noProof/>
          <w:lang w:val="en-AU"/>
        </w:rPr>
        <w:t>and financials</w:t>
      </w:r>
      <w:r w:rsidR="00A5242D">
        <w:rPr>
          <w:noProof/>
          <w:lang w:val="en-AU"/>
        </w:rPr>
        <w:t xml:space="preserve"> (1.6%)</w:t>
      </w:r>
      <w:r w:rsidR="00042635">
        <w:rPr>
          <w:noProof/>
          <w:lang w:val="en-AU"/>
        </w:rPr>
        <w:t xml:space="preserve"> being the best performing sectors across the quarter.</w:t>
      </w:r>
      <w:r w:rsidR="006F06E7" w:rsidRPr="006F06E7">
        <w:rPr>
          <w:rStyle w:val="FootnoteReference"/>
          <w:noProof/>
          <w:lang w:val="en-AU"/>
        </w:rPr>
        <w:t xml:space="preserve"> </w:t>
      </w:r>
      <w:r w:rsidR="006F06E7">
        <w:rPr>
          <w:rStyle w:val="FootnoteReference"/>
          <w:noProof/>
          <w:lang w:val="en-AU"/>
        </w:rPr>
        <w:footnoteReference w:id="4"/>
      </w:r>
      <w:r w:rsidR="00A5242D">
        <w:rPr>
          <w:noProof/>
          <w:lang w:val="en-AU"/>
        </w:rPr>
        <w:t xml:space="preserve"> </w:t>
      </w:r>
    </w:p>
    <w:p w14:paraId="3C4F5C6D" w14:textId="04890CA2" w:rsidR="005D7F12" w:rsidRDefault="00A5242D" w:rsidP="003F623B">
      <w:pPr>
        <w:jc w:val="both"/>
        <w:rPr>
          <w:noProof/>
          <w:lang w:val="en-AU"/>
        </w:rPr>
      </w:pPr>
      <w:r>
        <w:rPr>
          <w:noProof/>
          <w:lang w:val="en-AU"/>
        </w:rPr>
        <w:t>Consumer discretionary (</w:t>
      </w:r>
      <w:r w:rsidR="008335AB">
        <w:rPr>
          <w:noProof/>
          <w:lang w:val="en-AU"/>
        </w:rPr>
        <w:t>-</w:t>
      </w:r>
      <w:r>
        <w:rPr>
          <w:noProof/>
          <w:lang w:val="en-AU"/>
        </w:rPr>
        <w:t xml:space="preserve">9.7%) was the worst performing sector on the quarter, closely followed by technology </w:t>
      </w:r>
      <w:r w:rsidR="008335AB">
        <w:rPr>
          <w:noProof/>
          <w:lang w:val="en-AU"/>
        </w:rPr>
        <w:t>(-8.4%)</w:t>
      </w:r>
      <w:r>
        <w:rPr>
          <w:noProof/>
          <w:lang w:val="en-AU"/>
        </w:rPr>
        <w:t xml:space="preserve"> and healthcare</w:t>
      </w:r>
      <w:r w:rsidR="008335AB">
        <w:rPr>
          <w:noProof/>
          <w:lang w:val="en-AU"/>
        </w:rPr>
        <w:t xml:space="preserve"> (-7.5%)</w:t>
      </w:r>
      <w:r>
        <w:rPr>
          <w:noProof/>
          <w:lang w:val="en-AU"/>
        </w:rPr>
        <w:t>.</w:t>
      </w:r>
      <w:r w:rsidR="009645B0">
        <w:rPr>
          <w:noProof/>
          <w:lang w:val="en-AU"/>
        </w:rPr>
        <w:t xml:space="preserve"> These sectors performed well during the pandemic, however as the macroeconomic environment changes, they have struggled to continue this strong performance.</w:t>
      </w:r>
      <w:r w:rsidR="006F06E7" w:rsidRPr="006F06E7">
        <w:rPr>
          <w:rStyle w:val="FootnoteReference"/>
          <w:noProof/>
          <w:lang w:val="en-AU"/>
        </w:rPr>
        <w:t xml:space="preserve"> </w:t>
      </w:r>
      <w:r w:rsidR="006F06E7">
        <w:rPr>
          <w:rStyle w:val="FootnoteReference"/>
          <w:noProof/>
          <w:lang w:val="en-AU"/>
        </w:rPr>
        <w:footnoteReference w:id="5"/>
      </w:r>
      <w:r w:rsidR="009645B0">
        <w:rPr>
          <w:noProof/>
          <w:lang w:val="en-AU"/>
        </w:rPr>
        <w:t xml:space="preserve"> </w:t>
      </w:r>
    </w:p>
    <w:p w14:paraId="4EDEF0D0" w14:textId="7DAA471A" w:rsidR="00000778" w:rsidRDefault="009A6AFC" w:rsidP="003F623B">
      <w:pPr>
        <w:pStyle w:val="Heading2"/>
        <w:numPr>
          <w:ilvl w:val="0"/>
          <w:numId w:val="0"/>
        </w:numPr>
        <w:jc w:val="both"/>
        <w:rPr>
          <w:lang w:val="en-AU"/>
        </w:rPr>
      </w:pPr>
      <w:r>
        <w:rPr>
          <w:lang w:val="en-AU"/>
        </w:rPr>
        <w:t>1.2 Infrastructure Returns</w:t>
      </w:r>
    </w:p>
    <w:p w14:paraId="5FE29161" w14:textId="5FEFC41C" w:rsidR="009A6AFC" w:rsidRDefault="009A6AFC" w:rsidP="003F623B">
      <w:pPr>
        <w:jc w:val="both"/>
        <w:rPr>
          <w:lang w:val="en-AU"/>
        </w:rPr>
      </w:pPr>
      <w:r>
        <w:rPr>
          <w:lang w:val="en-AU"/>
        </w:rPr>
        <w:t xml:space="preserve">Infrastructure returns over the last six months have proved the ability for the asset class to protect capital </w:t>
      </w:r>
      <w:bookmarkStart w:id="3" w:name="_Hlk100743353"/>
      <w:r>
        <w:rPr>
          <w:lang w:val="en-AU"/>
        </w:rPr>
        <w:t>during inflationary periods</w:t>
      </w:r>
      <w:r w:rsidR="0036421B">
        <w:rPr>
          <w:lang w:val="en-AU"/>
        </w:rPr>
        <w:t xml:space="preserve"> relative to the market</w:t>
      </w:r>
      <w:r>
        <w:rPr>
          <w:lang w:val="en-AU"/>
        </w:rPr>
        <w:t>.</w:t>
      </w:r>
      <w:r w:rsidR="00D52510">
        <w:rPr>
          <w:lang w:val="en-AU"/>
        </w:rPr>
        <w:t xml:space="preserve"> </w:t>
      </w:r>
      <w:r w:rsidR="00882733">
        <w:rPr>
          <w:lang w:val="en-AU"/>
        </w:rPr>
        <w:t xml:space="preserve">The ability for infrastructure assets to protect during inflationary periods is why it is necessary in portfolios, as it has different return characteristics to traditional equities. </w:t>
      </w:r>
      <w:bookmarkEnd w:id="3"/>
    </w:p>
    <w:p w14:paraId="24A86828" w14:textId="25247CBA" w:rsidR="00320AB5" w:rsidRPr="00320AB5" w:rsidRDefault="00320AB5" w:rsidP="003F623B">
      <w:pPr>
        <w:pStyle w:val="Heading1"/>
        <w:jc w:val="both"/>
      </w:pPr>
      <w:r>
        <w:t xml:space="preserve">Foreign Exchange Markets </w:t>
      </w:r>
    </w:p>
    <w:p w14:paraId="19787C7F" w14:textId="2A1102FF" w:rsidR="001C4D92" w:rsidRPr="001C4D92" w:rsidRDefault="00E555A0" w:rsidP="003F623B">
      <w:pPr>
        <w:jc w:val="both"/>
      </w:pPr>
      <w:r>
        <w:rPr>
          <w:noProof/>
        </w:rPr>
        <w:drawing>
          <wp:inline distT="0" distB="0" distL="0" distR="0" wp14:anchorId="69ACC96D" wp14:editId="337E9A93">
            <wp:extent cx="3120390" cy="2339952"/>
            <wp:effectExtent l="0" t="0" r="3810" b="3810"/>
            <wp:docPr id="13" name="Picture 1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10;&#10;Description automatically generated"/>
                    <pic:cNvPicPr/>
                  </pic:nvPicPr>
                  <pic:blipFill>
                    <a:blip r:embed="rId19"/>
                    <a:stretch>
                      <a:fillRect/>
                    </a:stretch>
                  </pic:blipFill>
                  <pic:spPr>
                    <a:xfrm>
                      <a:off x="0" y="0"/>
                      <a:ext cx="3133261" cy="2349604"/>
                    </a:xfrm>
                    <a:prstGeom prst="rect">
                      <a:avLst/>
                    </a:prstGeom>
                  </pic:spPr>
                </pic:pic>
              </a:graphicData>
            </a:graphic>
          </wp:inline>
        </w:drawing>
      </w:r>
    </w:p>
    <w:p w14:paraId="2CCC8176" w14:textId="3312BB4E" w:rsidR="005D7F12" w:rsidRDefault="00000778" w:rsidP="003F623B">
      <w:pPr>
        <w:jc w:val="both"/>
      </w:pPr>
      <w:r>
        <w:t xml:space="preserve">As indicated by the chart, currencies remained </w:t>
      </w:r>
      <w:r w:rsidR="00852DF7">
        <w:t>unchanged</w:t>
      </w:r>
      <w:r>
        <w:t xml:space="preserve"> until the invasion by Russia into Ukraine. Immediately, </w:t>
      </w:r>
      <w:r w:rsidR="00C05698">
        <w:t xml:space="preserve">it was obvious </w:t>
      </w:r>
      <w:r>
        <w:t xml:space="preserve">which currencies were perceived as safe </w:t>
      </w:r>
      <w:r w:rsidR="00F27166">
        <w:t>havens</w:t>
      </w:r>
      <w:r>
        <w:t xml:space="preserve">. The US Dollar rose sharply following this event, </w:t>
      </w:r>
      <w:r w:rsidR="009B58FC">
        <w:t>finishing</w:t>
      </w:r>
      <w:r>
        <w:t xml:space="preserve"> over 2.4% on the quarter. The Australian Dollar was the best performing currency during the quarter (3.3%) due to the same reasons that it was the best performing </w:t>
      </w:r>
      <w:r w:rsidR="006F5668">
        <w:t xml:space="preserve">equity </w:t>
      </w:r>
      <w:r>
        <w:t xml:space="preserve">market, </w:t>
      </w:r>
      <w:r w:rsidR="00F27166">
        <w:t>high weightings in the ASX 200 to sectors that perform well in this environment.</w:t>
      </w:r>
      <w:r w:rsidR="00CE1600">
        <w:rPr>
          <w:rStyle w:val="FootnoteReference"/>
        </w:rPr>
        <w:footnoteReference w:id="6"/>
      </w:r>
      <w:r w:rsidR="00F27166">
        <w:t xml:space="preserve"> </w:t>
      </w:r>
    </w:p>
    <w:p w14:paraId="3B8D2C81" w14:textId="277E1D56" w:rsidR="00F27166" w:rsidRPr="009A792D" w:rsidRDefault="00F27166" w:rsidP="003F623B">
      <w:pPr>
        <w:jc w:val="both"/>
      </w:pPr>
      <w:r>
        <w:t xml:space="preserve">A surprising drop in the Japanese Yen, a currency generally seen as a safe haven currency, took place across the quarter as investors rotated money out of Yen into the US Dollar to take advantage of the </w:t>
      </w:r>
      <w:r>
        <w:lastRenderedPageBreak/>
        <w:t xml:space="preserve">higher interest rates that have been priced into the US market. </w:t>
      </w:r>
      <w:r w:rsidR="006F5668">
        <w:t xml:space="preserve">The Bank of Japan have not indicated significant increases in interest rates, leaving the currency more exposed to inflationary pressures. </w:t>
      </w:r>
    </w:p>
    <w:p w14:paraId="23806F5D" w14:textId="54871968" w:rsidR="003D24DF" w:rsidRDefault="00660B53" w:rsidP="003F623B">
      <w:pPr>
        <w:pStyle w:val="Heading1"/>
        <w:jc w:val="both"/>
      </w:pPr>
      <w:r>
        <w:t xml:space="preserve">Fixed Income Markets </w:t>
      </w:r>
    </w:p>
    <w:p w14:paraId="4DAEE7B6" w14:textId="28F62844" w:rsidR="004B3D58" w:rsidRPr="004B3D58" w:rsidRDefault="003F623B" w:rsidP="003F623B">
      <w:pPr>
        <w:jc w:val="both"/>
      </w:pPr>
      <w:r>
        <w:t>Using the iShares Global and Australian Bond Index products as proxies for the bond indexes, the losses to start the year are highlighted clearly</w:t>
      </w:r>
      <w:r w:rsidR="00CC58A2">
        <w:t xml:space="preserve"> in the chart on the next page</w:t>
      </w:r>
      <w:r>
        <w:t>. The global bond index fell 4.8% on the quarter, whilst the Australian index fell a deeper 5.9%.</w:t>
      </w:r>
      <w:r w:rsidR="00CE1600">
        <w:rPr>
          <w:rStyle w:val="FootnoteReference"/>
        </w:rPr>
        <w:footnoteReference w:id="7"/>
      </w:r>
    </w:p>
    <w:p w14:paraId="6503FB33" w14:textId="6CBECE92" w:rsidR="003E5FDB" w:rsidRDefault="003F623B" w:rsidP="003F623B">
      <w:pPr>
        <w:jc w:val="both"/>
      </w:pPr>
      <w:r>
        <w:rPr>
          <w:noProof/>
        </w:rPr>
        <w:drawing>
          <wp:anchor distT="0" distB="0" distL="114300" distR="114300" simplePos="0" relativeHeight="251677184" behindDoc="0" locked="0" layoutInCell="1" allowOverlap="1" wp14:anchorId="6A24EB9D" wp14:editId="58B3441A">
            <wp:simplePos x="0" y="0"/>
            <wp:positionH relativeFrom="column">
              <wp:posOffset>2921</wp:posOffset>
            </wp:positionH>
            <wp:positionV relativeFrom="paragraph">
              <wp:posOffset>19294</wp:posOffset>
            </wp:positionV>
            <wp:extent cx="3040907" cy="2282342"/>
            <wp:effectExtent l="0" t="0" r="7620" b="3810"/>
            <wp:wrapTopAndBottom/>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20"/>
                    <a:stretch>
                      <a:fillRect/>
                    </a:stretch>
                  </pic:blipFill>
                  <pic:spPr>
                    <a:xfrm>
                      <a:off x="0" y="0"/>
                      <a:ext cx="3040907" cy="2282342"/>
                    </a:xfrm>
                    <a:prstGeom prst="rect">
                      <a:avLst/>
                    </a:prstGeom>
                  </pic:spPr>
                </pic:pic>
              </a:graphicData>
            </a:graphic>
          </wp:anchor>
        </w:drawing>
      </w:r>
      <w:r>
        <w:rPr>
          <w:noProof/>
        </w:rPr>
        <w:drawing>
          <wp:anchor distT="0" distB="0" distL="114300" distR="114300" simplePos="0" relativeHeight="251676160" behindDoc="0" locked="0" layoutInCell="1" allowOverlap="1" wp14:anchorId="6D43F9EB" wp14:editId="51B7C829">
            <wp:simplePos x="0" y="0"/>
            <wp:positionH relativeFrom="column">
              <wp:posOffset>3251</wp:posOffset>
            </wp:positionH>
            <wp:positionV relativeFrom="paragraph">
              <wp:posOffset>4277995</wp:posOffset>
            </wp:positionV>
            <wp:extent cx="3004185" cy="2252980"/>
            <wp:effectExtent l="0" t="0" r="5715" b="0"/>
            <wp:wrapTopAndBottom/>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21"/>
                    <a:stretch>
                      <a:fillRect/>
                    </a:stretch>
                  </pic:blipFill>
                  <pic:spPr>
                    <a:xfrm>
                      <a:off x="0" y="0"/>
                      <a:ext cx="3004185" cy="2252980"/>
                    </a:xfrm>
                    <a:prstGeom prst="rect">
                      <a:avLst/>
                    </a:prstGeom>
                  </pic:spPr>
                </pic:pic>
              </a:graphicData>
            </a:graphic>
            <wp14:sizeRelH relativeFrom="margin">
              <wp14:pctWidth>0</wp14:pctWidth>
            </wp14:sizeRelH>
            <wp14:sizeRelV relativeFrom="margin">
              <wp14:pctHeight>0</wp14:pctHeight>
            </wp14:sizeRelV>
          </wp:anchor>
        </w:drawing>
      </w:r>
      <w:r w:rsidR="000337A2">
        <w:t xml:space="preserve">The beginning of 2022 has been one of the worst </w:t>
      </w:r>
      <w:r w:rsidR="00A6614A">
        <w:t>bond</w:t>
      </w:r>
      <w:r w:rsidR="000337A2">
        <w:t xml:space="preserve"> sell-off</w:t>
      </w:r>
      <w:r w:rsidR="00C05698">
        <w:t>’</w:t>
      </w:r>
      <w:r w:rsidR="000337A2">
        <w:t>s in history</w:t>
      </w:r>
      <w:r w:rsidR="00C840F3">
        <w:t xml:space="preserve"> to start a year</w:t>
      </w:r>
      <w:r w:rsidR="000337A2">
        <w:t xml:space="preserve"> as yields continue to rise in the face of rising inflationary pressures that have stemmed from the global reopening and now the Russia-Ukraine War. China’s largest cities have also entered a severe lockdown </w:t>
      </w:r>
      <w:r w:rsidR="000337A2">
        <w:t xml:space="preserve">due to rising coronavirus cases which may further exacerbate the global supply issues that have already been abundant. </w:t>
      </w:r>
    </w:p>
    <w:p w14:paraId="0E5EBAD9" w14:textId="73592E6F" w:rsidR="00577A7B" w:rsidRPr="00577A7B" w:rsidRDefault="003E5FDB" w:rsidP="003F623B">
      <w:pPr>
        <w:jc w:val="both"/>
      </w:pPr>
      <w:r>
        <w:t xml:space="preserve">Central banks continue to voice their concerns over rising inflationary costs and their willingness to fight this with higher interest rates. This has resulted in extremely sharp increases in short-term yields. This </w:t>
      </w:r>
      <w:r w:rsidR="00E90EBA">
        <w:t xml:space="preserve">attitude change is extreme and is highlighted by the above chart. Central banks, prior to this inflationary outbreak had been conducting </w:t>
      </w:r>
      <w:r w:rsidR="00703ED9">
        <w:t>quantitative</w:t>
      </w:r>
      <w:r w:rsidR="00E90EBA">
        <w:t xml:space="preserve"> easing to suppress yields at rates next to 0%. Now the fixed income market has had to reprice in </w:t>
      </w:r>
      <w:r w:rsidR="00A5002A">
        <w:t>seven</w:t>
      </w:r>
      <w:r w:rsidR="00E90EBA">
        <w:t xml:space="preserve"> total rate increases in the US for 2022 and the increases that Australia will have to conduct</w:t>
      </w:r>
      <w:r w:rsidR="00F54D73">
        <w:t>. T</w:t>
      </w:r>
      <w:r w:rsidR="00E90EBA">
        <w:t xml:space="preserve">he Reserve Bank of Australia has not </w:t>
      </w:r>
      <w:r w:rsidR="0040621B">
        <w:t>outlined</w:t>
      </w:r>
      <w:r w:rsidR="00E90EBA">
        <w:t xml:space="preserve"> specific</w:t>
      </w:r>
      <w:r w:rsidR="0040621B">
        <w:t xml:space="preserve">ally </w:t>
      </w:r>
      <w:r w:rsidR="00E90EBA">
        <w:t xml:space="preserve">what this will </w:t>
      </w:r>
      <w:r w:rsidR="00A6614A">
        <w:t>look</w:t>
      </w:r>
      <w:r w:rsidR="00E90EBA">
        <w:t xml:space="preserve"> like as they await the inflation data to come through. </w:t>
      </w:r>
    </w:p>
    <w:p w14:paraId="39C51173" w14:textId="4D57DAB1" w:rsidR="00276F1F" w:rsidRPr="00EF7C35" w:rsidRDefault="00F947C7" w:rsidP="003F623B">
      <w:pPr>
        <w:pStyle w:val="Heading1"/>
        <w:jc w:val="both"/>
      </w:pPr>
      <w:bookmarkStart w:id="4" w:name="_Toc34924317"/>
      <w:bookmarkEnd w:id="1"/>
      <w:r>
        <w:t>oUTLOOK</w:t>
      </w:r>
      <w:bookmarkEnd w:id="4"/>
      <w:r w:rsidR="005D7EAA">
        <w:t xml:space="preserve"> </w:t>
      </w:r>
    </w:p>
    <w:p w14:paraId="5D9FD1BF" w14:textId="7EFA4950" w:rsidR="004C7BFB" w:rsidRDefault="003857D9" w:rsidP="003F623B">
      <w:pPr>
        <w:jc w:val="both"/>
        <w:rPr>
          <w:noProof/>
        </w:rPr>
      </w:pPr>
      <w:r>
        <w:rPr>
          <w:noProof/>
        </w:rPr>
        <w:t xml:space="preserve">Increasingly hawkish central banks have continued to put pressure on equities, especially in the US as inflation has hit their economy the hardest thus far. </w:t>
      </w:r>
      <w:r w:rsidR="007150BC">
        <w:rPr>
          <w:noProof/>
        </w:rPr>
        <w:t xml:space="preserve">We expect inflation to stay elevated over the short-term as </w:t>
      </w:r>
      <w:r w:rsidR="004C7BFB">
        <w:rPr>
          <w:noProof/>
        </w:rPr>
        <w:t xml:space="preserve">the Russian-Ukraine War and lockdowns </w:t>
      </w:r>
      <w:r w:rsidR="00703ED9">
        <w:rPr>
          <w:noProof/>
        </w:rPr>
        <w:t>occurring</w:t>
      </w:r>
      <w:r w:rsidR="004C7BFB">
        <w:rPr>
          <w:noProof/>
        </w:rPr>
        <w:t xml:space="preserve"> in China will ensure pressures on supply chains continue. There were issues with supply chains before </w:t>
      </w:r>
      <w:r w:rsidR="00703ED9">
        <w:rPr>
          <w:noProof/>
        </w:rPr>
        <w:t>either of</w:t>
      </w:r>
      <w:r w:rsidR="004C7BFB">
        <w:rPr>
          <w:noProof/>
        </w:rPr>
        <w:t xml:space="preserve"> these events occurred, hence these are aggrav</w:t>
      </w:r>
      <w:r w:rsidR="00BA6F57">
        <w:rPr>
          <w:noProof/>
        </w:rPr>
        <w:t>a</w:t>
      </w:r>
      <w:r w:rsidR="004C7BFB">
        <w:rPr>
          <w:noProof/>
        </w:rPr>
        <w:t xml:space="preserve">ting factors </w:t>
      </w:r>
      <w:r w:rsidR="00BA6F57">
        <w:rPr>
          <w:noProof/>
        </w:rPr>
        <w:t>to</w:t>
      </w:r>
      <w:r w:rsidR="004C7BFB">
        <w:rPr>
          <w:noProof/>
        </w:rPr>
        <w:t xml:space="preserve"> the already existing problem.</w:t>
      </w:r>
    </w:p>
    <w:p w14:paraId="19DA861B" w14:textId="55A3243A" w:rsidR="003857D9" w:rsidRDefault="003857D9" w:rsidP="003F623B">
      <w:pPr>
        <w:jc w:val="both"/>
        <w:rPr>
          <w:noProof/>
        </w:rPr>
      </w:pPr>
      <w:r>
        <w:rPr>
          <w:noProof/>
        </w:rPr>
        <w:t xml:space="preserve">In Australia, </w:t>
      </w:r>
      <w:r w:rsidR="00EF7C35">
        <w:rPr>
          <w:noProof/>
        </w:rPr>
        <w:t xml:space="preserve">inflation </w:t>
      </w:r>
      <w:r>
        <w:rPr>
          <w:noProof/>
        </w:rPr>
        <w:t>has stayed somewhat subdued relative to the rest of the world</w:t>
      </w:r>
      <w:r w:rsidR="00EF7C35">
        <w:rPr>
          <w:noProof/>
        </w:rPr>
        <w:t>. I</w:t>
      </w:r>
      <w:r>
        <w:rPr>
          <w:noProof/>
        </w:rPr>
        <w:t xml:space="preserve">t is expected that this number will </w:t>
      </w:r>
      <w:r w:rsidR="00EF7C35">
        <w:rPr>
          <w:noProof/>
        </w:rPr>
        <w:t>move upwards in the coming months as Australia is lagged but is not entirely isolated from the global economic trends.</w:t>
      </w:r>
    </w:p>
    <w:p w14:paraId="7C30333C" w14:textId="3F575D19" w:rsidR="000E13C1" w:rsidRDefault="003857D9" w:rsidP="003F623B">
      <w:pPr>
        <w:jc w:val="both"/>
        <w:rPr>
          <w:noProof/>
        </w:rPr>
      </w:pPr>
      <w:r>
        <w:rPr>
          <w:noProof/>
        </w:rPr>
        <w:t>The</w:t>
      </w:r>
      <w:r w:rsidR="00BA6F57">
        <w:rPr>
          <w:noProof/>
        </w:rPr>
        <w:t xml:space="preserve"> bottom line is that the</w:t>
      </w:r>
      <w:r>
        <w:rPr>
          <w:noProof/>
        </w:rPr>
        <w:t xml:space="preserve"> focus of central bank policy has shifted to </w:t>
      </w:r>
      <w:r w:rsidRPr="00BA6F57">
        <w:rPr>
          <w:noProof/>
          <w:u w:val="single"/>
        </w:rPr>
        <w:t>strictly rein in inflation</w:t>
      </w:r>
      <w:r>
        <w:rPr>
          <w:noProof/>
        </w:rPr>
        <w:t>. After being initially labelled “transitory”, inflation has remained elevated for a longer than expected period of time</w:t>
      </w:r>
      <w:r w:rsidR="0040621B">
        <w:rPr>
          <w:noProof/>
        </w:rPr>
        <w:t>,</w:t>
      </w:r>
      <w:r>
        <w:rPr>
          <w:noProof/>
        </w:rPr>
        <w:t xml:space="preserve"> in the United States</w:t>
      </w:r>
      <w:r w:rsidR="00BA6F57">
        <w:rPr>
          <w:noProof/>
        </w:rPr>
        <w:t xml:space="preserve"> especially</w:t>
      </w:r>
      <w:r>
        <w:rPr>
          <w:noProof/>
        </w:rPr>
        <w:t xml:space="preserve">. It is now expected that central bank </w:t>
      </w:r>
      <w:r w:rsidR="00EB0451">
        <w:rPr>
          <w:noProof/>
        </w:rPr>
        <w:t xml:space="preserve">interest </w:t>
      </w:r>
      <w:r>
        <w:rPr>
          <w:noProof/>
        </w:rPr>
        <w:t xml:space="preserve">rate increases will occur until the inflation rate falls back to the </w:t>
      </w:r>
      <w:r>
        <w:rPr>
          <w:noProof/>
        </w:rPr>
        <w:lastRenderedPageBreak/>
        <w:t>longer-term average.</w:t>
      </w:r>
      <w:r w:rsidR="00BA6F57">
        <w:rPr>
          <w:noProof/>
        </w:rPr>
        <w:t xml:space="preserve"> This may be at the expense of equity and bond holders in the short-term if central banks start to get very aggressive with thi</w:t>
      </w:r>
      <w:r w:rsidR="000E13C1">
        <w:rPr>
          <w:noProof/>
        </w:rPr>
        <w:t>s strategy</w:t>
      </w:r>
      <w:r w:rsidR="00657AEA">
        <w:rPr>
          <w:noProof/>
        </w:rPr>
        <w:t xml:space="preserve"> and further increase interest rate expectations.</w:t>
      </w:r>
    </w:p>
    <w:p w14:paraId="38B05EF6" w14:textId="335CB7E6" w:rsidR="00CE1600" w:rsidRDefault="008B0137" w:rsidP="00CE1600">
      <w:pPr>
        <w:jc w:val="both"/>
        <w:rPr>
          <w:noProof/>
        </w:rPr>
      </w:pPr>
      <w:r>
        <w:rPr>
          <w:noProof/>
        </w:rPr>
        <w:t xml:space="preserve">If inflation starts to moderate in the short-term, the need for aggressive interest rate policy will be </w:t>
      </w:r>
      <w:r w:rsidR="00CE1600">
        <w:rPr>
          <w:noProof/>
        </w:rPr>
        <w:t>somewhat subdued and will be positive for both bond and equity markets.</w:t>
      </w:r>
    </w:p>
    <w:p w14:paraId="6137C3BB" w14:textId="77777777" w:rsidR="00CE1600" w:rsidRDefault="00CE1600" w:rsidP="00CE1600">
      <w:pPr>
        <w:jc w:val="both"/>
        <w:rPr>
          <w:noProof/>
        </w:rPr>
      </w:pPr>
      <w:r>
        <w:rPr>
          <w:noProof/>
        </w:rPr>
        <w:t xml:space="preserve">It appears that it all depends on what inflation is going to do next… </w:t>
      </w:r>
    </w:p>
    <w:p w14:paraId="2AD48B6D" w14:textId="77777777" w:rsidR="00CE1600" w:rsidRDefault="00CE1600" w:rsidP="003F623B">
      <w:pPr>
        <w:jc w:val="both"/>
        <w:rPr>
          <w:noProof/>
        </w:rPr>
      </w:pPr>
    </w:p>
    <w:p w14:paraId="061E5F4F" w14:textId="77777777" w:rsidR="00CE1600" w:rsidRDefault="00CE1600" w:rsidP="003F623B">
      <w:pPr>
        <w:jc w:val="both"/>
        <w:rPr>
          <w:noProof/>
        </w:rPr>
      </w:pPr>
    </w:p>
    <w:p w14:paraId="325B6A2F" w14:textId="77777777" w:rsidR="00CE1600" w:rsidRDefault="00CE1600" w:rsidP="003F623B">
      <w:pPr>
        <w:jc w:val="both"/>
        <w:rPr>
          <w:noProof/>
        </w:rPr>
      </w:pPr>
    </w:p>
    <w:p w14:paraId="0207D3A9" w14:textId="77777777" w:rsidR="00CE1600" w:rsidRDefault="00CE1600" w:rsidP="003F623B">
      <w:pPr>
        <w:jc w:val="both"/>
        <w:rPr>
          <w:noProof/>
        </w:rPr>
      </w:pPr>
    </w:p>
    <w:p w14:paraId="65B4B961" w14:textId="77777777" w:rsidR="00CE1600" w:rsidRDefault="00CE1600" w:rsidP="003F623B">
      <w:pPr>
        <w:jc w:val="both"/>
        <w:rPr>
          <w:noProof/>
        </w:rPr>
      </w:pPr>
    </w:p>
    <w:p w14:paraId="548A9FD1" w14:textId="77777777" w:rsidR="00CE1600" w:rsidRDefault="00CE1600" w:rsidP="003F623B">
      <w:pPr>
        <w:jc w:val="both"/>
        <w:rPr>
          <w:noProof/>
        </w:rPr>
      </w:pPr>
    </w:p>
    <w:p w14:paraId="65AE7A63" w14:textId="77777777" w:rsidR="00CE1600" w:rsidRDefault="00CE1600" w:rsidP="003F623B">
      <w:pPr>
        <w:jc w:val="both"/>
        <w:rPr>
          <w:noProof/>
        </w:rPr>
      </w:pPr>
    </w:p>
    <w:p w14:paraId="3C77CB2E" w14:textId="77777777" w:rsidR="00CE1600" w:rsidRDefault="00CE1600" w:rsidP="003F623B">
      <w:pPr>
        <w:jc w:val="both"/>
        <w:rPr>
          <w:noProof/>
        </w:rPr>
      </w:pPr>
    </w:p>
    <w:p w14:paraId="3FBFD846" w14:textId="77777777" w:rsidR="00CE1600" w:rsidRDefault="00CE1600" w:rsidP="003F623B">
      <w:pPr>
        <w:jc w:val="both"/>
        <w:rPr>
          <w:noProof/>
        </w:rPr>
      </w:pPr>
    </w:p>
    <w:p w14:paraId="41779D08" w14:textId="77777777" w:rsidR="00CE1600" w:rsidRDefault="00CE1600" w:rsidP="003F623B">
      <w:pPr>
        <w:jc w:val="both"/>
        <w:rPr>
          <w:noProof/>
        </w:rPr>
      </w:pPr>
    </w:p>
    <w:p w14:paraId="5E3B0DEB" w14:textId="77777777" w:rsidR="00CE1600" w:rsidRDefault="00CE1600" w:rsidP="003F623B">
      <w:pPr>
        <w:jc w:val="both"/>
        <w:rPr>
          <w:noProof/>
        </w:rPr>
      </w:pPr>
    </w:p>
    <w:p w14:paraId="6931E6D1" w14:textId="77777777" w:rsidR="00CE1600" w:rsidRDefault="00CE1600" w:rsidP="003F623B">
      <w:pPr>
        <w:jc w:val="both"/>
        <w:rPr>
          <w:noProof/>
        </w:rPr>
      </w:pPr>
    </w:p>
    <w:p w14:paraId="1592B7D6" w14:textId="77777777" w:rsidR="00CE1600" w:rsidRDefault="00CE1600" w:rsidP="003F623B">
      <w:pPr>
        <w:jc w:val="both"/>
        <w:rPr>
          <w:noProof/>
        </w:rPr>
      </w:pPr>
    </w:p>
    <w:p w14:paraId="6E2D849C" w14:textId="77777777" w:rsidR="00CE1600" w:rsidRDefault="00CE1600" w:rsidP="003F623B">
      <w:pPr>
        <w:jc w:val="both"/>
        <w:rPr>
          <w:noProof/>
        </w:rPr>
      </w:pPr>
    </w:p>
    <w:p w14:paraId="7590EA39" w14:textId="77777777" w:rsidR="00CE1600" w:rsidRDefault="00CE1600" w:rsidP="003F623B">
      <w:pPr>
        <w:jc w:val="both"/>
        <w:rPr>
          <w:noProof/>
        </w:rPr>
      </w:pPr>
    </w:p>
    <w:p w14:paraId="0495C927" w14:textId="77777777" w:rsidR="00CE1600" w:rsidRDefault="00CE1600" w:rsidP="003F623B">
      <w:pPr>
        <w:jc w:val="both"/>
        <w:rPr>
          <w:noProof/>
        </w:rPr>
      </w:pPr>
    </w:p>
    <w:p w14:paraId="58B76DC6" w14:textId="77777777" w:rsidR="00CE1600" w:rsidRDefault="00CE1600" w:rsidP="003F623B">
      <w:pPr>
        <w:jc w:val="both"/>
        <w:rPr>
          <w:noProof/>
        </w:rPr>
      </w:pPr>
    </w:p>
    <w:p w14:paraId="32AF87FC" w14:textId="77777777" w:rsidR="00CE1600" w:rsidRDefault="00CE1600" w:rsidP="003F623B">
      <w:pPr>
        <w:jc w:val="both"/>
        <w:rPr>
          <w:noProof/>
        </w:rPr>
      </w:pPr>
    </w:p>
    <w:p w14:paraId="18FE4A06" w14:textId="77777777" w:rsidR="00CE1600" w:rsidRDefault="00CE1600" w:rsidP="003F623B">
      <w:pPr>
        <w:jc w:val="both"/>
        <w:rPr>
          <w:noProof/>
        </w:rPr>
      </w:pPr>
    </w:p>
    <w:p w14:paraId="0586F42C" w14:textId="77777777" w:rsidR="00CE1600" w:rsidRDefault="00CE1600" w:rsidP="003F623B">
      <w:pPr>
        <w:jc w:val="both"/>
        <w:rPr>
          <w:noProof/>
        </w:rPr>
      </w:pPr>
    </w:p>
    <w:p w14:paraId="556D3BBE" w14:textId="77777777" w:rsidR="00CE1600" w:rsidRDefault="00CE1600" w:rsidP="003F623B">
      <w:pPr>
        <w:jc w:val="both"/>
        <w:rPr>
          <w:noProof/>
        </w:rPr>
      </w:pPr>
    </w:p>
    <w:p w14:paraId="58F6BE36" w14:textId="77777777" w:rsidR="00CE1600" w:rsidRDefault="00CE1600" w:rsidP="003F623B">
      <w:pPr>
        <w:jc w:val="both"/>
        <w:rPr>
          <w:noProof/>
        </w:rPr>
      </w:pPr>
    </w:p>
    <w:p w14:paraId="57C56408" w14:textId="77777777" w:rsidR="00CE1600" w:rsidRDefault="00CE1600" w:rsidP="003F623B">
      <w:pPr>
        <w:jc w:val="both"/>
        <w:rPr>
          <w:noProof/>
        </w:rPr>
      </w:pPr>
    </w:p>
    <w:p w14:paraId="46D285F0" w14:textId="77777777" w:rsidR="00CE1600" w:rsidRDefault="00CE1600" w:rsidP="003F623B">
      <w:pPr>
        <w:jc w:val="both"/>
        <w:rPr>
          <w:noProof/>
        </w:rPr>
      </w:pPr>
    </w:p>
    <w:p w14:paraId="7BDB48C4" w14:textId="77777777" w:rsidR="00CE1600" w:rsidRDefault="00CE1600" w:rsidP="003F623B">
      <w:pPr>
        <w:jc w:val="both"/>
        <w:rPr>
          <w:noProof/>
        </w:rPr>
      </w:pPr>
    </w:p>
    <w:p w14:paraId="1D6D43DC" w14:textId="77777777" w:rsidR="00CE1600" w:rsidRDefault="00CE1600" w:rsidP="003F623B">
      <w:pPr>
        <w:jc w:val="both"/>
        <w:rPr>
          <w:noProof/>
        </w:rPr>
      </w:pPr>
    </w:p>
    <w:p w14:paraId="07948F5B" w14:textId="77777777" w:rsidR="00CE1600" w:rsidRDefault="00CE1600" w:rsidP="003F623B">
      <w:pPr>
        <w:jc w:val="both"/>
        <w:rPr>
          <w:noProof/>
        </w:rPr>
      </w:pPr>
    </w:p>
    <w:p w14:paraId="2E5A8231" w14:textId="77777777" w:rsidR="00CE1600" w:rsidRDefault="00CE1600" w:rsidP="003F623B">
      <w:pPr>
        <w:jc w:val="both"/>
        <w:rPr>
          <w:noProof/>
        </w:rPr>
      </w:pPr>
    </w:p>
    <w:p w14:paraId="26639D66" w14:textId="77777777" w:rsidR="00CE1600" w:rsidRDefault="00CE1600" w:rsidP="003F623B">
      <w:pPr>
        <w:jc w:val="both"/>
        <w:rPr>
          <w:noProof/>
        </w:rPr>
      </w:pPr>
    </w:p>
    <w:p w14:paraId="5FAB56A6" w14:textId="79991710" w:rsidR="00CE1600" w:rsidRPr="002A28A6" w:rsidRDefault="00CE1600" w:rsidP="003F623B">
      <w:pPr>
        <w:jc w:val="both"/>
        <w:rPr>
          <w:noProof/>
        </w:rPr>
        <w:sectPr w:rsidR="00CE1600" w:rsidRPr="002A28A6" w:rsidSect="00BF295A">
          <w:type w:val="continuous"/>
          <w:pgSz w:w="11906" w:h="16838"/>
          <w:pgMar w:top="1531" w:right="1021" w:bottom="1701" w:left="1021" w:header="709" w:footer="794" w:gutter="0"/>
          <w:cols w:num="2" w:space="708"/>
          <w:docGrid w:linePitch="360"/>
        </w:sectPr>
      </w:pPr>
    </w:p>
    <w:p w14:paraId="6450751C" w14:textId="4C5B16A8" w:rsidR="0068225B" w:rsidRDefault="0068225B" w:rsidP="003F623B">
      <w:pPr>
        <w:spacing w:before="0" w:after="160" w:line="259" w:lineRule="auto"/>
        <w:jc w:val="both"/>
        <w:rPr>
          <w:color w:val="808080" w:themeColor="background1" w:themeShade="80"/>
        </w:rPr>
        <w:sectPr w:rsidR="0068225B" w:rsidSect="0068225B">
          <w:type w:val="continuous"/>
          <w:pgSz w:w="11906" w:h="16838"/>
          <w:pgMar w:top="1531" w:right="1021" w:bottom="1701" w:left="1021" w:header="709" w:footer="794" w:gutter="0"/>
          <w:cols w:num="2" w:space="708"/>
          <w:docGrid w:linePitch="360"/>
        </w:sectPr>
      </w:pPr>
    </w:p>
    <w:p w14:paraId="41EDBBC4" w14:textId="77777777" w:rsidR="00AF3B01" w:rsidRDefault="00AF3B01" w:rsidP="002867BB">
      <w:pPr>
        <w:rPr>
          <w:b/>
          <w:color w:val="5B5D62" w:themeColor="accent6" w:themeShade="80"/>
          <w:sz w:val="16"/>
          <w:szCs w:val="16"/>
        </w:rPr>
      </w:pPr>
    </w:p>
    <w:p w14:paraId="06FFBD4A" w14:textId="77777777" w:rsidR="00AF3B01" w:rsidRDefault="00AF3B01" w:rsidP="002867BB">
      <w:pPr>
        <w:rPr>
          <w:b/>
          <w:color w:val="5B5D62" w:themeColor="accent6" w:themeShade="80"/>
          <w:sz w:val="16"/>
          <w:szCs w:val="16"/>
        </w:rPr>
      </w:pPr>
    </w:p>
    <w:p w14:paraId="5BBA3D6E" w14:textId="584916E2" w:rsidR="00357543" w:rsidRPr="00DA2735" w:rsidRDefault="00357543" w:rsidP="002867BB">
      <w:pPr>
        <w:rPr>
          <w:b/>
          <w:color w:val="5B5D62" w:themeColor="accent6" w:themeShade="80"/>
          <w:sz w:val="16"/>
          <w:szCs w:val="16"/>
        </w:rPr>
        <w:sectPr w:rsidR="00357543" w:rsidRPr="00DA2735" w:rsidSect="009B70AA">
          <w:type w:val="continuous"/>
          <w:pgSz w:w="11906" w:h="16838"/>
          <w:pgMar w:top="1531" w:right="1021" w:bottom="1701" w:left="1021" w:header="709" w:footer="794" w:gutter="0"/>
          <w:cols w:space="708"/>
          <w:docGrid w:linePitch="360"/>
        </w:sectPr>
      </w:pPr>
      <w:r w:rsidRPr="00DA2735">
        <w:rPr>
          <w:b/>
          <w:color w:val="5B5D62" w:themeColor="accent6" w:themeShade="80"/>
          <w:sz w:val="16"/>
          <w:szCs w:val="16"/>
        </w:rPr>
        <w:t>General Advice Warning</w:t>
      </w:r>
    </w:p>
    <w:p w14:paraId="12D3998D" w14:textId="77777777" w:rsidR="00357543" w:rsidRPr="00DA2735" w:rsidRDefault="00357543" w:rsidP="00357543">
      <w:pPr>
        <w:spacing w:before="100" w:after="200" w:line="276" w:lineRule="auto"/>
        <w:jc w:val="both"/>
        <w:rPr>
          <w:rFonts w:eastAsiaTheme="minorEastAsia"/>
          <w:color w:val="5B5D62" w:themeColor="accent6" w:themeShade="80"/>
          <w:sz w:val="16"/>
          <w:lang w:val="en-AU"/>
        </w:rPr>
      </w:pPr>
      <w:r w:rsidRPr="00DA2735">
        <w:rPr>
          <w:rFonts w:eastAsiaTheme="minorEastAsia"/>
          <w:color w:val="5B5D62" w:themeColor="accent6" w:themeShade="80"/>
          <w:sz w:val="16"/>
          <w:lang w:val="en-AU"/>
        </w:rPr>
        <w:t xml:space="preserve">This update is issued by Ventura Investment Management Limited (AFSL 253045), which is a related body corporate of Centrepoint Alliance Limited. </w:t>
      </w:r>
    </w:p>
    <w:p w14:paraId="5AB681F9" w14:textId="77777777" w:rsidR="00357543" w:rsidRPr="00DA2735" w:rsidRDefault="00357543" w:rsidP="00357543">
      <w:pPr>
        <w:spacing w:before="100" w:after="200" w:line="276" w:lineRule="auto"/>
        <w:jc w:val="both"/>
        <w:rPr>
          <w:rFonts w:eastAsiaTheme="minorEastAsia"/>
          <w:color w:val="5B5D62" w:themeColor="accent6" w:themeShade="80"/>
          <w:sz w:val="16"/>
          <w:lang w:val="en-AU"/>
        </w:rPr>
      </w:pPr>
      <w:r w:rsidRPr="00DA2735">
        <w:rPr>
          <w:rFonts w:eastAsiaTheme="minorEastAsia"/>
          <w:color w:val="5B5D62" w:themeColor="accent6" w:themeShade="80"/>
          <w:sz w:val="16"/>
          <w:lang w:val="en-AU"/>
        </w:rPr>
        <w:t xml:space="preserve">The information provided is general advice only and does not </w:t>
      </w:r>
      <w:proofErr w:type="gramStart"/>
      <w:r w:rsidRPr="00DA2735">
        <w:rPr>
          <w:rFonts w:eastAsiaTheme="minorEastAsia"/>
          <w:color w:val="5B5D62" w:themeColor="accent6" w:themeShade="80"/>
          <w:sz w:val="16"/>
          <w:lang w:val="en-AU"/>
        </w:rPr>
        <w:t>take into account</w:t>
      </w:r>
      <w:proofErr w:type="gramEnd"/>
      <w:r w:rsidRPr="00DA2735">
        <w:rPr>
          <w:rFonts w:eastAsiaTheme="minorEastAsia"/>
          <w:color w:val="5B5D62" w:themeColor="accent6" w:themeShade="80"/>
          <w:sz w:val="16"/>
          <w:lang w:val="en-AU"/>
        </w:rPr>
        <w:t xml:space="preserve"> your financial circumstances, needs or objectives. Where you are considering the acquisition, or possible acquisition, of a particular financial product, you should obtain a Product Disclosure Statement for the relevant product before you make any decision to invest. Past performance does not necessarily indicate a financial product’s future performance. It is imperative that you seek advice from a registered professional financial adviser before making any investment decisions. </w:t>
      </w:r>
    </w:p>
    <w:p w14:paraId="26A51FCD" w14:textId="77777777" w:rsidR="00357543" w:rsidRPr="00DA2735" w:rsidRDefault="00357543" w:rsidP="00357543">
      <w:pPr>
        <w:spacing w:before="100" w:after="200" w:line="276" w:lineRule="auto"/>
        <w:jc w:val="both"/>
        <w:rPr>
          <w:rFonts w:eastAsiaTheme="minorEastAsia"/>
          <w:color w:val="5B5D62" w:themeColor="accent6" w:themeShade="80"/>
          <w:sz w:val="16"/>
          <w:lang w:val="en-AU"/>
        </w:rPr>
      </w:pPr>
      <w:r w:rsidRPr="00DA2735">
        <w:rPr>
          <w:rFonts w:eastAsiaTheme="minorEastAsia"/>
          <w:color w:val="5B5D62" w:themeColor="accent6" w:themeShade="80"/>
          <w:sz w:val="16"/>
          <w:lang w:val="en-AU"/>
        </w:rPr>
        <w:t xml:space="preserve">For more information, refer to the </w:t>
      </w:r>
      <w:hyperlink r:id="rId22" w:history="1">
        <w:r w:rsidRPr="00DA2735">
          <w:rPr>
            <w:rStyle w:val="Hyperlink"/>
            <w:rFonts w:eastAsiaTheme="minorEastAsia"/>
            <w:color w:val="0D6A75" w:themeColor="hyperlink" w:themeShade="80"/>
            <w:sz w:val="16"/>
            <w:lang w:val="en-AU"/>
          </w:rPr>
          <w:t>Financial Services Guide (FSG)</w:t>
        </w:r>
      </w:hyperlink>
      <w:r w:rsidRPr="00DA2735">
        <w:rPr>
          <w:rFonts w:eastAsiaTheme="minorEastAsia"/>
          <w:color w:val="5B5D62" w:themeColor="accent6" w:themeShade="80"/>
          <w:sz w:val="16"/>
          <w:lang w:val="en-AU"/>
        </w:rPr>
        <w:t xml:space="preserve"> for Ventura Investment Management Limited (available at).</w:t>
      </w:r>
    </w:p>
    <w:p w14:paraId="27C1B5FE" w14:textId="77777777" w:rsidR="00357543" w:rsidRPr="00DA2735" w:rsidRDefault="00357543" w:rsidP="00357543">
      <w:pPr>
        <w:jc w:val="both"/>
        <w:rPr>
          <w:b/>
          <w:color w:val="5B5D62" w:themeColor="accent6" w:themeShade="80"/>
          <w:sz w:val="16"/>
          <w:szCs w:val="16"/>
        </w:rPr>
      </w:pPr>
      <w:r w:rsidRPr="00DA2735">
        <w:rPr>
          <w:b/>
          <w:color w:val="5B5D62" w:themeColor="accent6" w:themeShade="80"/>
          <w:sz w:val="16"/>
          <w:szCs w:val="16"/>
        </w:rPr>
        <w:t>Disclaimer</w:t>
      </w:r>
    </w:p>
    <w:p w14:paraId="4D6FA5CB" w14:textId="68D699B4" w:rsidR="00357543" w:rsidRPr="00DA2735" w:rsidRDefault="00357543" w:rsidP="00357543">
      <w:pPr>
        <w:spacing w:before="100" w:after="200" w:line="276" w:lineRule="auto"/>
        <w:jc w:val="both"/>
        <w:rPr>
          <w:rFonts w:eastAsiaTheme="minorEastAsia"/>
          <w:color w:val="5B5D62" w:themeColor="accent6" w:themeShade="80"/>
          <w:sz w:val="16"/>
          <w:lang w:val="en-AU"/>
        </w:rPr>
        <w:sectPr w:rsidR="00357543" w:rsidRPr="00DA2735" w:rsidSect="009B70AA">
          <w:type w:val="continuous"/>
          <w:pgSz w:w="11906" w:h="16838" w:code="9"/>
          <w:pgMar w:top="1531" w:right="1021" w:bottom="1701" w:left="1021" w:header="709" w:footer="794" w:gutter="0"/>
          <w:cols w:space="708"/>
          <w:docGrid w:linePitch="360"/>
        </w:sectPr>
      </w:pPr>
      <w:r w:rsidRPr="00DA2735">
        <w:rPr>
          <w:rFonts w:eastAsiaTheme="minorEastAsia"/>
          <w:color w:val="5B5D62" w:themeColor="accent6" w:themeShade="80"/>
          <w:sz w:val="16"/>
          <w:lang w:val="en-AU"/>
        </w:rPr>
        <w:t xml:space="preserve">While Centrepoint Alliance Limited and its related bodies corporate try to ensure that the content of this update is accurate, adequate, and complete, it does not represent or warrant its accuracy, </w:t>
      </w:r>
      <w:proofErr w:type="gramStart"/>
      <w:r w:rsidRPr="00DA2735">
        <w:rPr>
          <w:rFonts w:eastAsiaTheme="minorEastAsia"/>
          <w:color w:val="5B5D62" w:themeColor="accent6" w:themeShade="80"/>
          <w:sz w:val="16"/>
          <w:lang w:val="en-AU"/>
        </w:rPr>
        <w:t>adequacy</w:t>
      </w:r>
      <w:proofErr w:type="gramEnd"/>
      <w:r w:rsidRPr="00DA2735">
        <w:rPr>
          <w:rFonts w:eastAsiaTheme="minorEastAsia"/>
          <w:color w:val="5B5D62" w:themeColor="accent6" w:themeShade="80"/>
          <w:sz w:val="16"/>
          <w:lang w:val="en-AU"/>
        </w:rPr>
        <w:t xml:space="preserve"> or completeness. Centrepoint Alliance Limited is not responsible for any loss suffered </w:t>
      </w:r>
      <w:proofErr w:type="gramStart"/>
      <w:r w:rsidRPr="00DA2735">
        <w:rPr>
          <w:rFonts w:eastAsiaTheme="minorEastAsia"/>
          <w:color w:val="5B5D62" w:themeColor="accent6" w:themeShade="80"/>
          <w:sz w:val="16"/>
          <w:lang w:val="en-AU"/>
        </w:rPr>
        <w:t>as a result of</w:t>
      </w:r>
      <w:proofErr w:type="gramEnd"/>
      <w:r w:rsidRPr="00DA2735">
        <w:rPr>
          <w:rFonts w:eastAsiaTheme="minorEastAsia"/>
          <w:color w:val="5B5D62" w:themeColor="accent6" w:themeShade="80"/>
          <w:sz w:val="16"/>
          <w:lang w:val="en-AU"/>
        </w:rPr>
        <w:t xml:space="preserve"> or in relation of the use of this update. To the extent permitted by law, Centrepoint Alliance Limited excludes any liability, including negligence, for any loss, including indirect or consequential damages arising from or in relation to the use of this upda</w:t>
      </w:r>
      <w:r w:rsidR="009F2559" w:rsidRPr="00DA2735">
        <w:rPr>
          <w:rFonts w:eastAsiaTheme="minorEastAsia"/>
          <w:color w:val="5B5D62" w:themeColor="accent6" w:themeShade="80"/>
          <w:sz w:val="16"/>
          <w:lang w:val="en-AU"/>
        </w:rPr>
        <w:t>te.</w:t>
      </w:r>
    </w:p>
    <w:p w14:paraId="44C3164C" w14:textId="5E9A2C63" w:rsidR="00357543" w:rsidRPr="00357543" w:rsidRDefault="00357543" w:rsidP="009F2559">
      <w:pPr>
        <w:pStyle w:val="BodyText"/>
        <w:rPr>
          <w:color w:val="808080" w:themeColor="background1" w:themeShade="80"/>
          <w:lang w:val="en-AU"/>
        </w:rPr>
      </w:pPr>
    </w:p>
    <w:sectPr w:rsidR="00357543" w:rsidRPr="00357543" w:rsidSect="00E635DA">
      <w:type w:val="continuous"/>
      <w:pgSz w:w="11906" w:h="16838" w:code="9"/>
      <w:pgMar w:top="992" w:right="1021" w:bottom="1701" w:left="1021" w:header="284" w:footer="79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BAAA7" w14:textId="77777777" w:rsidR="00BF4CE0" w:rsidRDefault="00BF4CE0" w:rsidP="008F222C">
      <w:r>
        <w:separator/>
      </w:r>
    </w:p>
  </w:endnote>
  <w:endnote w:type="continuationSeparator" w:id="0">
    <w:p w14:paraId="5CD27AD0" w14:textId="77777777" w:rsidR="00BF4CE0" w:rsidRDefault="00BF4CE0" w:rsidP="008F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01F6" w14:textId="5015B48A" w:rsidR="00EC3D49" w:rsidRDefault="00DB2BEC">
    <w:pPr>
      <w:pStyle w:val="Footer"/>
    </w:pPr>
    <w:r w:rsidRPr="009C22BC">
      <w:rPr>
        <w:rStyle w:val="Companyfooter"/>
      </w:rPr>
      <w:t>Centrepoint Alliance</w:t>
    </w:r>
    <w:r>
      <w:rPr>
        <w:rStyle w:val="Companyfooter"/>
      </w:rPr>
      <w:t xml:space="preserve"> </w:t>
    </w:r>
    <w:sdt>
      <w:sdtPr>
        <w:alias w:val="Title"/>
        <w:tag w:val=""/>
        <w:id w:val="-1991162084"/>
        <w:dataBinding w:prefixMappings="xmlns:ns0='http://purl.org/dc/elements/1.1/' xmlns:ns1='http://schemas.openxmlformats.org/package/2006/metadata/core-properties' " w:xpath="/ns1:coreProperties[1]/ns0:title[1]" w:storeItemID="{6C3C8BC8-F283-45AE-878A-BAB7291924A1}"/>
        <w:text/>
      </w:sdtPr>
      <w:sdtEndPr/>
      <w:sdtContent>
        <w:r w:rsidR="00E635DA">
          <w:t>Market and Economic Update</w:t>
        </w:r>
      </w:sdtContent>
    </w:sdt>
    <w:r>
      <w:ptab w:relativeTo="margin" w:alignment="right" w:leader="none"/>
    </w:r>
    <w:r w:rsidRPr="00C40EAB">
      <w:fldChar w:fldCharType="begin"/>
    </w:r>
    <w:r w:rsidRPr="00C40EAB">
      <w:instrText xml:space="preserve"> PAGE   \* MERGEFORMAT </w:instrText>
    </w:r>
    <w:r w:rsidRPr="00C40EAB">
      <w:fldChar w:fldCharType="separate"/>
    </w:r>
    <w:r w:rsidRPr="00C40EAB">
      <w:t>1</w:t>
    </w:r>
    <w:r w:rsidRPr="00C40EA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5BEE" w14:textId="53F021AE" w:rsidR="00BD7B99" w:rsidRDefault="00BD7B99" w:rsidP="00DB2BEC">
    <w:pPr>
      <w:pStyle w:val="Footer"/>
    </w:pPr>
    <w:r w:rsidRPr="009C22BC">
      <w:rPr>
        <w:rStyle w:val="Companyfooter"/>
      </w:rPr>
      <w:t>Centrepoint Alliance</w:t>
    </w:r>
    <w:r w:rsidR="00DB2BEC">
      <w:rPr>
        <w:rStyle w:val="Companyfooter"/>
      </w:rPr>
      <w:t xml:space="preserve"> </w:t>
    </w:r>
    <w:sdt>
      <w:sdtPr>
        <w:alias w:val="Title"/>
        <w:tag w:val=""/>
        <w:id w:val="-784039253"/>
        <w:dataBinding w:prefixMappings="xmlns:ns0='http://purl.org/dc/elements/1.1/' xmlns:ns1='http://schemas.openxmlformats.org/package/2006/metadata/core-properties' " w:xpath="/ns1:coreProperties[1]/ns0:title[1]" w:storeItemID="{6C3C8BC8-F283-45AE-878A-BAB7291924A1}"/>
        <w:text/>
      </w:sdtPr>
      <w:sdtEndPr/>
      <w:sdtContent>
        <w:r w:rsidR="00E635DA">
          <w:t>Market and Economic Update</w:t>
        </w:r>
      </w:sdtContent>
    </w:sdt>
    <w:r>
      <w:ptab w:relativeTo="margin" w:alignment="right" w:leader="none"/>
    </w:r>
    <w:r w:rsidRPr="00C40EAB">
      <w:fldChar w:fldCharType="begin"/>
    </w:r>
    <w:r w:rsidRPr="00C40EAB">
      <w:instrText xml:space="preserve"> PAGE   \* MERGEFORMAT </w:instrText>
    </w:r>
    <w:r w:rsidRPr="00C40EAB">
      <w:fldChar w:fldCharType="separate"/>
    </w:r>
    <w:r w:rsidRPr="00C40EAB">
      <w:t>1</w:t>
    </w:r>
    <w:r w:rsidRPr="00C40EA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81D97" w14:textId="77777777" w:rsidR="00BF4CE0" w:rsidRDefault="00BF4CE0" w:rsidP="008F222C">
      <w:r>
        <w:separator/>
      </w:r>
    </w:p>
  </w:footnote>
  <w:footnote w:type="continuationSeparator" w:id="0">
    <w:p w14:paraId="3A76870F" w14:textId="77777777" w:rsidR="00BF4CE0" w:rsidRDefault="00BF4CE0" w:rsidP="008F222C">
      <w:r>
        <w:continuationSeparator/>
      </w:r>
    </w:p>
  </w:footnote>
  <w:footnote w:id="1">
    <w:p w14:paraId="4815D4AA" w14:textId="0F98870A" w:rsidR="00C46E4E" w:rsidRPr="006F06E7" w:rsidRDefault="00C46E4E">
      <w:pPr>
        <w:pStyle w:val="FootnoteText"/>
        <w:rPr>
          <w:lang w:val="nb-NO"/>
        </w:rPr>
      </w:pPr>
      <w:r>
        <w:rPr>
          <w:rStyle w:val="FootnoteReference"/>
        </w:rPr>
        <w:footnoteRef/>
      </w:r>
      <w:r w:rsidRPr="006F06E7">
        <w:rPr>
          <w:lang w:val="nb-NO"/>
        </w:rPr>
        <w:t xml:space="preserve"> Refinitiv, 2022</w:t>
      </w:r>
    </w:p>
  </w:footnote>
  <w:footnote w:id="2">
    <w:p w14:paraId="20327316" w14:textId="1B496D94" w:rsidR="00C46E4E" w:rsidRPr="006F06E7" w:rsidRDefault="00C46E4E">
      <w:pPr>
        <w:pStyle w:val="FootnoteText"/>
        <w:rPr>
          <w:lang w:val="nb-NO"/>
        </w:rPr>
      </w:pPr>
      <w:r>
        <w:rPr>
          <w:rStyle w:val="FootnoteReference"/>
        </w:rPr>
        <w:footnoteRef/>
      </w:r>
      <w:r w:rsidRPr="006F06E7">
        <w:rPr>
          <w:lang w:val="nb-NO"/>
        </w:rPr>
        <w:t xml:space="preserve"> Reuters, 2022</w:t>
      </w:r>
    </w:p>
  </w:footnote>
  <w:footnote w:id="3">
    <w:p w14:paraId="5DC21A0B" w14:textId="401935CF" w:rsidR="00320AB5" w:rsidRPr="006F06E7" w:rsidRDefault="00320AB5">
      <w:pPr>
        <w:pStyle w:val="FootnoteText"/>
        <w:rPr>
          <w:lang w:val="nb-NO"/>
        </w:rPr>
      </w:pPr>
      <w:r>
        <w:rPr>
          <w:rStyle w:val="FootnoteReference"/>
        </w:rPr>
        <w:footnoteRef/>
      </w:r>
      <w:r w:rsidRPr="006F06E7">
        <w:rPr>
          <w:lang w:val="nb-NO"/>
        </w:rPr>
        <w:t xml:space="preserve"> Refinitiv, 2022</w:t>
      </w:r>
    </w:p>
  </w:footnote>
  <w:footnote w:id="4">
    <w:p w14:paraId="1E3C0D49" w14:textId="77777777" w:rsidR="006F06E7" w:rsidRPr="006F06E7" w:rsidRDefault="006F06E7" w:rsidP="006F06E7">
      <w:pPr>
        <w:pStyle w:val="FootnoteText"/>
        <w:rPr>
          <w:lang w:val="nb-NO"/>
        </w:rPr>
      </w:pPr>
      <w:r>
        <w:rPr>
          <w:rStyle w:val="FootnoteReference"/>
        </w:rPr>
        <w:footnoteRef/>
      </w:r>
      <w:r w:rsidRPr="006F06E7">
        <w:rPr>
          <w:lang w:val="nb-NO"/>
        </w:rPr>
        <w:t xml:space="preserve"> Refinitiv, 2022</w:t>
      </w:r>
    </w:p>
  </w:footnote>
  <w:footnote w:id="5">
    <w:p w14:paraId="44A8386A" w14:textId="77777777" w:rsidR="006F06E7" w:rsidRPr="007D1B02" w:rsidRDefault="006F06E7" w:rsidP="006F06E7">
      <w:pPr>
        <w:pStyle w:val="FootnoteText"/>
        <w:rPr>
          <w:lang w:val="en-AU"/>
        </w:rPr>
      </w:pPr>
      <w:r>
        <w:rPr>
          <w:rStyle w:val="FootnoteReference"/>
        </w:rPr>
        <w:footnoteRef/>
      </w:r>
      <w:r>
        <w:t xml:space="preserve"> </w:t>
      </w:r>
      <w:r>
        <w:rPr>
          <w:lang w:val="en-AU"/>
        </w:rPr>
        <w:t>Refinitiv, 2022</w:t>
      </w:r>
    </w:p>
  </w:footnote>
  <w:footnote w:id="6">
    <w:p w14:paraId="70A87ECB" w14:textId="00DC92BE" w:rsidR="00CE1600" w:rsidRPr="006F06E7" w:rsidRDefault="00CE1600">
      <w:pPr>
        <w:pStyle w:val="FootnoteText"/>
        <w:rPr>
          <w:lang w:val="nb-NO"/>
        </w:rPr>
      </w:pPr>
      <w:r>
        <w:rPr>
          <w:rStyle w:val="FootnoteReference"/>
        </w:rPr>
        <w:footnoteRef/>
      </w:r>
      <w:r w:rsidRPr="006F06E7">
        <w:rPr>
          <w:lang w:val="nb-NO"/>
        </w:rPr>
        <w:t xml:space="preserve"> Refinitiv, 2022</w:t>
      </w:r>
    </w:p>
  </w:footnote>
  <w:footnote w:id="7">
    <w:p w14:paraId="067376C0" w14:textId="47B7B908" w:rsidR="00CE1600" w:rsidRPr="006F06E7" w:rsidRDefault="00CE1600">
      <w:pPr>
        <w:pStyle w:val="FootnoteText"/>
        <w:rPr>
          <w:lang w:val="nb-NO"/>
        </w:rPr>
      </w:pPr>
      <w:r>
        <w:rPr>
          <w:rStyle w:val="FootnoteReference"/>
        </w:rPr>
        <w:footnoteRef/>
      </w:r>
      <w:r w:rsidRPr="006F06E7">
        <w:rPr>
          <w:lang w:val="nb-NO"/>
        </w:rPr>
        <w:t xml:space="preserve"> Refinitiv,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3676" w14:textId="77777777" w:rsidR="0090718D" w:rsidRPr="005D073E" w:rsidRDefault="0090718D" w:rsidP="005D073E">
    <w:pPr>
      <w:pStyle w:val="Header"/>
    </w:pPr>
    <w:r>
      <w:rPr>
        <w:noProof/>
      </w:rPr>
      <w:drawing>
        <wp:anchor distT="0" distB="0" distL="114300" distR="114300" simplePos="0" relativeHeight="251658752" behindDoc="1" locked="1" layoutInCell="1" allowOverlap="1" wp14:anchorId="4311726E" wp14:editId="0F5FC533">
          <wp:simplePos x="0" y="0"/>
          <wp:positionH relativeFrom="page">
            <wp:align>left</wp:align>
          </wp:positionH>
          <wp:positionV relativeFrom="page">
            <wp:align>top</wp:align>
          </wp:positionV>
          <wp:extent cx="7560000" cy="1659600"/>
          <wp:effectExtent l="0" t="0" r="3175" b="0"/>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 header-01.png"/>
                  <pic:cNvPicPr/>
                </pic:nvPicPr>
                <pic:blipFill>
                  <a:blip r:embed="rId1"/>
                  <a:stretch>
                    <a:fillRect/>
                  </a:stretch>
                </pic:blipFill>
                <pic:spPr>
                  <a:xfrm>
                    <a:off x="0" y="0"/>
                    <a:ext cx="7560000" cy="165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97E6C82"/>
    <w:lvl w:ilvl="0">
      <w:start w:val="1"/>
      <w:numFmt w:val="lowerRoman"/>
      <w:pStyle w:val="ListNumber3"/>
      <w:lvlText w:val="%1."/>
      <w:lvlJc w:val="left"/>
      <w:pPr>
        <w:tabs>
          <w:tab w:val="num" w:pos="926"/>
        </w:tabs>
        <w:ind w:left="926" w:hanging="360"/>
      </w:pPr>
      <w:rPr>
        <w:rFonts w:hint="default"/>
      </w:rPr>
    </w:lvl>
  </w:abstractNum>
  <w:abstractNum w:abstractNumId="1" w15:restartNumberingAfterBreak="0">
    <w:nsid w:val="FFFFFF7F"/>
    <w:multiLevelType w:val="singleLevel"/>
    <w:tmpl w:val="700CD52C"/>
    <w:lvl w:ilvl="0">
      <w:start w:val="1"/>
      <w:numFmt w:val="lowerLetter"/>
      <w:pStyle w:val="ListNumber2"/>
      <w:lvlText w:val="%1."/>
      <w:lvlJc w:val="left"/>
      <w:pPr>
        <w:tabs>
          <w:tab w:val="num" w:pos="643"/>
        </w:tabs>
        <w:ind w:left="643" w:hanging="360"/>
      </w:pPr>
      <w:rPr>
        <w:rFonts w:hint="default"/>
      </w:rPr>
    </w:lvl>
  </w:abstractNum>
  <w:abstractNum w:abstractNumId="2" w15:restartNumberingAfterBreak="0">
    <w:nsid w:val="FFFFFF82"/>
    <w:multiLevelType w:val="singleLevel"/>
    <w:tmpl w:val="1C08BCEE"/>
    <w:lvl w:ilvl="0">
      <w:start w:val="1"/>
      <w:numFmt w:val="bullet"/>
      <w:lvlText w:val="–"/>
      <w:lvlJc w:val="left"/>
      <w:pPr>
        <w:ind w:left="680" w:hanging="226"/>
      </w:pPr>
      <w:rPr>
        <w:rFonts w:ascii="Arial" w:hAnsi="Arial" w:hint="default"/>
      </w:rPr>
    </w:lvl>
  </w:abstractNum>
  <w:abstractNum w:abstractNumId="3" w15:restartNumberingAfterBreak="0">
    <w:nsid w:val="FFFFFF83"/>
    <w:multiLevelType w:val="singleLevel"/>
    <w:tmpl w:val="A820607E"/>
    <w:lvl w:ilvl="0">
      <w:start w:val="1"/>
      <w:numFmt w:val="bullet"/>
      <w:lvlText w:val="–"/>
      <w:lvlJc w:val="left"/>
      <w:pPr>
        <w:ind w:left="454" w:hanging="227"/>
      </w:pPr>
      <w:rPr>
        <w:rFonts w:ascii="Arial" w:hAnsi="Arial" w:hint="default"/>
      </w:rPr>
    </w:lvl>
  </w:abstractNum>
  <w:abstractNum w:abstractNumId="4" w15:restartNumberingAfterBreak="0">
    <w:nsid w:val="FFFFFF88"/>
    <w:multiLevelType w:val="singleLevel"/>
    <w:tmpl w:val="D3A051F4"/>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ED36D3D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5038D5"/>
    <w:multiLevelType w:val="multilevel"/>
    <w:tmpl w:val="BD4ECEF8"/>
    <w:lvl w:ilvl="0">
      <w:start w:val="1"/>
      <w:numFmt w:val="bullet"/>
      <w:pStyle w:val="ListBullet"/>
      <w:lvlText w:val=""/>
      <w:lvlJc w:val="left"/>
      <w:pPr>
        <w:ind w:left="227" w:hanging="227"/>
      </w:pPr>
      <w:rPr>
        <w:rFonts w:ascii="Symbol" w:hAnsi="Symbol" w:hint="default"/>
      </w:rPr>
    </w:lvl>
    <w:lvl w:ilvl="1">
      <w:start w:val="1"/>
      <w:numFmt w:val="bullet"/>
      <w:pStyle w:val="ListBullet2"/>
      <w:lvlText w:val="–"/>
      <w:lvlJc w:val="left"/>
      <w:pPr>
        <w:ind w:left="454" w:hanging="227"/>
      </w:pPr>
      <w:rPr>
        <w:rFonts w:ascii="Arial" w:hAnsi="Arial" w:hint="default"/>
      </w:rPr>
    </w:lvl>
    <w:lvl w:ilvl="2">
      <w:start w:val="1"/>
      <w:numFmt w:val="bullet"/>
      <w:pStyle w:val="ListBullet3"/>
      <w:lvlText w:val="–"/>
      <w:lvlJc w:val="left"/>
      <w:pPr>
        <w:ind w:left="680" w:hanging="226"/>
      </w:pPr>
      <w:rPr>
        <w:rFonts w:ascii="Arial" w:hAnsi="Arial"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5A97C20"/>
    <w:multiLevelType w:val="multilevel"/>
    <w:tmpl w:val="9546248C"/>
    <w:lvl w:ilvl="0">
      <w:start w:val="1"/>
      <w:numFmt w:val="upperLetter"/>
      <w:pStyle w:val="AppendixHeading1"/>
      <w:lvlText w:val="%1."/>
      <w:lvlJc w:val="left"/>
      <w:pPr>
        <w:ind w:left="425" w:hanging="425"/>
      </w:pPr>
      <w:rPr>
        <w:rFonts w:hint="default"/>
      </w:rPr>
    </w:lvl>
    <w:lvl w:ilvl="1">
      <w:start w:val="1"/>
      <w:numFmt w:val="decimal"/>
      <w:pStyle w:val="AppendixHeading2"/>
      <w:lvlText w:val="%1.%2"/>
      <w:lvlJc w:val="left"/>
      <w:pPr>
        <w:ind w:left="567" w:hanging="567"/>
      </w:pPr>
      <w:rPr>
        <w:rFonts w:hint="default"/>
      </w:rPr>
    </w:lvl>
    <w:lvl w:ilvl="2">
      <w:start w:val="1"/>
      <w:numFmt w:val="decimal"/>
      <w:pStyle w:val="AppendixHeading3"/>
      <w:lvlText w:val="%1.%2.%3"/>
      <w:lvlJc w:val="left"/>
      <w:pPr>
        <w:ind w:left="709" w:hanging="709"/>
      </w:pPr>
      <w:rPr>
        <w:rFonts w:hint="default"/>
      </w:rPr>
    </w:lvl>
    <w:lvl w:ilvl="3">
      <w:start w:val="1"/>
      <w:numFmt w:val="decimal"/>
      <w:pStyle w:val="AppendixHeading4"/>
      <w:lvlText w:val="%1.%2.%3.%4"/>
      <w:lvlJc w:val="left"/>
      <w:pPr>
        <w:ind w:left="851" w:hanging="851"/>
      </w:pPr>
      <w:rPr>
        <w:rFonts w:hint="default"/>
      </w:rPr>
    </w:lvl>
    <w:lvl w:ilvl="4">
      <w:start w:val="1"/>
      <w:numFmt w:val="decimal"/>
      <w:pStyle w:val="AppendixHeading5"/>
      <w:lvlText w:val="%1.%2.%3.%4.%5"/>
      <w:lvlJc w:val="left"/>
      <w:pPr>
        <w:ind w:left="992" w:hanging="992"/>
      </w:pPr>
      <w:rPr>
        <w:rFonts w:hint="default"/>
      </w:rPr>
    </w:lvl>
    <w:lvl w:ilvl="5">
      <w:start w:val="1"/>
      <w:numFmt w:val="decimal"/>
      <w:pStyle w:val="AppendixHeading6"/>
      <w:lvlText w:val="%1.%2.%3.%4.%5.%6"/>
      <w:lvlJc w:val="left"/>
      <w:pPr>
        <w:ind w:left="1134" w:hanging="1134"/>
      </w:pPr>
      <w:rPr>
        <w:rFonts w:hint="default"/>
      </w:rPr>
    </w:lvl>
    <w:lvl w:ilvl="6">
      <w:start w:val="1"/>
      <w:numFmt w:val="lowerLetter"/>
      <w:pStyle w:val="AppendixPara1"/>
      <w:lvlText w:val="%7."/>
      <w:lvlJc w:val="left"/>
      <w:pPr>
        <w:ind w:left="227" w:hanging="227"/>
      </w:pPr>
      <w:rPr>
        <w:rFonts w:hint="default"/>
      </w:rPr>
    </w:lvl>
    <w:lvl w:ilvl="7">
      <w:start w:val="1"/>
      <w:numFmt w:val="lowerRoman"/>
      <w:pStyle w:val="AppendixPara2"/>
      <w:lvlText w:val="%8."/>
      <w:lvlJc w:val="left"/>
      <w:pPr>
        <w:ind w:left="454" w:hanging="227"/>
      </w:pPr>
      <w:rPr>
        <w:rFonts w:hint="default"/>
      </w:rPr>
    </w:lvl>
    <w:lvl w:ilvl="8">
      <w:start w:val="1"/>
      <w:numFmt w:val="upperLetter"/>
      <w:pStyle w:val="AppendixPara3"/>
      <w:lvlText w:val="%9."/>
      <w:lvlJc w:val="left"/>
      <w:pPr>
        <w:ind w:left="680" w:hanging="226"/>
      </w:pPr>
      <w:rPr>
        <w:rFonts w:hint="default"/>
      </w:rPr>
    </w:lvl>
  </w:abstractNum>
  <w:abstractNum w:abstractNumId="8" w15:restartNumberingAfterBreak="0">
    <w:nsid w:val="3CAA0149"/>
    <w:multiLevelType w:val="multilevel"/>
    <w:tmpl w:val="CFE63616"/>
    <w:lvl w:ilvl="0">
      <w:start w:val="1"/>
      <w:numFmt w:val="none"/>
      <w:pStyle w:val="Tablenotesorsource"/>
      <w:suff w:val="nothing"/>
      <w:lvlText w:val="%1"/>
      <w:lvlJc w:val="left"/>
      <w:pPr>
        <w:ind w:left="0" w:firstLine="0"/>
      </w:pPr>
      <w:rPr>
        <w:rFonts w:hint="default"/>
      </w:rPr>
    </w:lvl>
    <w:lvl w:ilvl="1">
      <w:start w:val="1"/>
      <w:numFmt w:val="decimal"/>
      <w:pStyle w:val="Tablenotenumbers"/>
      <w:lvlText w:val="%2."/>
      <w:lvlJc w:val="left"/>
      <w:pPr>
        <w:ind w:left="357" w:hanging="35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70A544F8"/>
    <w:multiLevelType w:val="multilevel"/>
    <w:tmpl w:val="DA4E648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lowerLetter"/>
      <w:lvlText w:val="%7."/>
      <w:lvlJc w:val="left"/>
      <w:pPr>
        <w:ind w:left="227" w:hanging="227"/>
      </w:pPr>
      <w:rPr>
        <w:rFonts w:hint="default"/>
      </w:rPr>
    </w:lvl>
    <w:lvl w:ilvl="7">
      <w:start w:val="1"/>
      <w:numFmt w:val="lowerRoman"/>
      <w:lvlText w:val="%8."/>
      <w:lvlJc w:val="left"/>
      <w:pPr>
        <w:tabs>
          <w:tab w:val="num" w:pos="357"/>
        </w:tabs>
        <w:ind w:left="454" w:hanging="227"/>
      </w:pPr>
      <w:rPr>
        <w:rFonts w:hint="default"/>
      </w:rPr>
    </w:lvl>
    <w:lvl w:ilvl="8">
      <w:start w:val="1"/>
      <w:numFmt w:val="upperLetter"/>
      <w:lvlText w:val="%9."/>
      <w:lvlJc w:val="left"/>
      <w:pPr>
        <w:ind w:left="680" w:hanging="226"/>
      </w:pPr>
      <w:rPr>
        <w:rFonts w:hint="default"/>
      </w:rPr>
    </w:lvl>
  </w:abstractNum>
  <w:abstractNum w:abstractNumId="10" w15:restartNumberingAfterBreak="0">
    <w:nsid w:val="71C552B8"/>
    <w:multiLevelType w:val="multilevel"/>
    <w:tmpl w:val="5ED47EA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lowerLetter"/>
      <w:lvlText w:val="%7."/>
      <w:lvlJc w:val="left"/>
      <w:pPr>
        <w:ind w:left="357" w:hanging="357"/>
      </w:pPr>
      <w:rPr>
        <w:rFonts w:hint="default"/>
      </w:rPr>
    </w:lvl>
    <w:lvl w:ilvl="7">
      <w:start w:val="1"/>
      <w:numFmt w:val="lowerRoman"/>
      <w:lvlText w:val="%8."/>
      <w:lvlJc w:val="left"/>
      <w:pPr>
        <w:tabs>
          <w:tab w:val="num" w:pos="357"/>
        </w:tabs>
        <w:ind w:left="714" w:hanging="357"/>
      </w:pPr>
      <w:rPr>
        <w:rFonts w:hint="default"/>
      </w:rPr>
    </w:lvl>
    <w:lvl w:ilvl="8">
      <w:start w:val="1"/>
      <w:numFmt w:val="upperLetter"/>
      <w:lvlText w:val="%9."/>
      <w:lvlJc w:val="left"/>
      <w:pPr>
        <w:ind w:left="1072" w:hanging="358"/>
      </w:pPr>
      <w:rPr>
        <w:rFonts w:hint="default"/>
      </w:rPr>
    </w:lvl>
  </w:abstractNum>
  <w:abstractNum w:abstractNumId="11" w15:restartNumberingAfterBreak="0">
    <w:nsid w:val="7F047E28"/>
    <w:multiLevelType w:val="multilevel"/>
    <w:tmpl w:val="6C323E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lowerLetter"/>
      <w:pStyle w:val="Subpara1"/>
      <w:lvlText w:val="%7."/>
      <w:lvlJc w:val="left"/>
      <w:pPr>
        <w:ind w:left="227" w:hanging="227"/>
      </w:pPr>
      <w:rPr>
        <w:rFonts w:hint="default"/>
      </w:rPr>
    </w:lvl>
    <w:lvl w:ilvl="7">
      <w:start w:val="1"/>
      <w:numFmt w:val="lowerRoman"/>
      <w:pStyle w:val="Subpara2"/>
      <w:lvlText w:val="%8."/>
      <w:lvlJc w:val="left"/>
      <w:pPr>
        <w:ind w:left="454" w:hanging="227"/>
      </w:pPr>
      <w:rPr>
        <w:rFonts w:hint="default"/>
      </w:rPr>
    </w:lvl>
    <w:lvl w:ilvl="8">
      <w:start w:val="1"/>
      <w:numFmt w:val="upperLetter"/>
      <w:pStyle w:val="Subpara3"/>
      <w:lvlText w:val="%9."/>
      <w:lvlJc w:val="left"/>
      <w:pPr>
        <w:ind w:left="680" w:hanging="226"/>
      </w:pPr>
      <w:rPr>
        <w:rFonts w:hint="default"/>
      </w:rPr>
    </w:lvl>
  </w:abstractNum>
  <w:num w:numId="1" w16cid:durableId="1384675711">
    <w:abstractNumId w:val="6"/>
  </w:num>
  <w:num w:numId="2" w16cid:durableId="1943032961">
    <w:abstractNumId w:val="5"/>
  </w:num>
  <w:num w:numId="3" w16cid:durableId="1204362130">
    <w:abstractNumId w:val="3"/>
  </w:num>
  <w:num w:numId="4" w16cid:durableId="368604805">
    <w:abstractNumId w:val="2"/>
  </w:num>
  <w:num w:numId="5" w16cid:durableId="1676109399">
    <w:abstractNumId w:val="3"/>
    <w:lvlOverride w:ilvl="0">
      <w:startOverride w:val="1"/>
    </w:lvlOverride>
  </w:num>
  <w:num w:numId="6" w16cid:durableId="1732381234">
    <w:abstractNumId w:val="2"/>
    <w:lvlOverride w:ilvl="0">
      <w:startOverride w:val="1"/>
    </w:lvlOverride>
  </w:num>
  <w:num w:numId="7" w16cid:durableId="1693653361">
    <w:abstractNumId w:val="3"/>
    <w:lvlOverride w:ilvl="0">
      <w:startOverride w:val="1"/>
    </w:lvlOverride>
  </w:num>
  <w:num w:numId="8" w16cid:durableId="1076129584">
    <w:abstractNumId w:val="2"/>
    <w:lvlOverride w:ilvl="0">
      <w:startOverride w:val="1"/>
    </w:lvlOverride>
  </w:num>
  <w:num w:numId="9" w16cid:durableId="762333851">
    <w:abstractNumId w:val="6"/>
    <w:lvlOverride w:ilvl="0">
      <w:startOverride w:val="1"/>
    </w:lvlOverride>
  </w:num>
  <w:num w:numId="10" w16cid:durableId="1313175291">
    <w:abstractNumId w:val="3"/>
    <w:lvlOverride w:ilvl="0">
      <w:startOverride w:val="1"/>
    </w:lvlOverride>
  </w:num>
  <w:num w:numId="11" w16cid:durableId="345638323">
    <w:abstractNumId w:val="2"/>
    <w:lvlOverride w:ilvl="0">
      <w:startOverride w:val="1"/>
    </w:lvlOverride>
  </w:num>
  <w:num w:numId="12" w16cid:durableId="15823262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7487424">
    <w:abstractNumId w:val="9"/>
  </w:num>
  <w:num w:numId="14" w16cid:durableId="446241191">
    <w:abstractNumId w:val="8"/>
  </w:num>
  <w:num w:numId="15" w16cid:durableId="221983125">
    <w:abstractNumId w:val="4"/>
  </w:num>
  <w:num w:numId="16" w16cid:durableId="1681618014">
    <w:abstractNumId w:val="4"/>
  </w:num>
  <w:num w:numId="17" w16cid:durableId="1315718303">
    <w:abstractNumId w:val="1"/>
  </w:num>
  <w:num w:numId="18" w16cid:durableId="883129574">
    <w:abstractNumId w:val="1"/>
  </w:num>
  <w:num w:numId="19" w16cid:durableId="664670977">
    <w:abstractNumId w:val="0"/>
  </w:num>
  <w:num w:numId="20" w16cid:durableId="1068458006">
    <w:abstractNumId w:val="0"/>
  </w:num>
  <w:num w:numId="21" w16cid:durableId="622228378">
    <w:abstractNumId w:val="10"/>
  </w:num>
  <w:num w:numId="22" w16cid:durableId="343751898">
    <w:abstractNumId w:val="11"/>
  </w:num>
  <w:num w:numId="23" w16cid:durableId="1819418373">
    <w:abstractNumId w:val="7"/>
  </w:num>
  <w:num w:numId="24" w16cid:durableId="363019692">
    <w:abstractNumId w:val="11"/>
  </w:num>
  <w:num w:numId="25" w16cid:durableId="855801374">
    <w:abstractNumId w:val="7"/>
  </w:num>
  <w:num w:numId="26" w16cid:durableId="1103259530">
    <w:abstractNumId w:val="11"/>
  </w:num>
  <w:num w:numId="27" w16cid:durableId="1175464190">
    <w:abstractNumId w:val="7"/>
  </w:num>
  <w:num w:numId="28" w16cid:durableId="2083214665">
    <w:abstractNumId w:val="11"/>
  </w:num>
  <w:num w:numId="29" w16cid:durableId="798764241">
    <w:abstractNumId w:val="7"/>
  </w:num>
  <w:num w:numId="30" w16cid:durableId="1482964349">
    <w:abstractNumId w:val="11"/>
  </w:num>
  <w:num w:numId="31" w16cid:durableId="1239049649">
    <w:abstractNumId w:val="7"/>
  </w:num>
  <w:num w:numId="32" w16cid:durableId="1690912908">
    <w:abstractNumId w:val="11"/>
  </w:num>
  <w:num w:numId="33" w16cid:durableId="1037971007">
    <w:abstractNumId w:val="7"/>
  </w:num>
  <w:num w:numId="34" w16cid:durableId="538707473">
    <w:abstractNumId w:val="7"/>
  </w:num>
  <w:num w:numId="35" w16cid:durableId="450707457">
    <w:abstractNumId w:val="7"/>
  </w:num>
  <w:num w:numId="36" w16cid:durableId="159196684">
    <w:abstractNumId w:val="7"/>
  </w:num>
  <w:num w:numId="37" w16cid:durableId="1126503355">
    <w:abstractNumId w:val="6"/>
  </w:num>
  <w:num w:numId="38" w16cid:durableId="1270549819">
    <w:abstractNumId w:val="6"/>
  </w:num>
  <w:num w:numId="39" w16cid:durableId="1736052327">
    <w:abstractNumId w:val="6"/>
  </w:num>
  <w:num w:numId="40" w16cid:durableId="289432898">
    <w:abstractNumId w:val="4"/>
  </w:num>
  <w:num w:numId="41" w16cid:durableId="300035977">
    <w:abstractNumId w:val="1"/>
  </w:num>
  <w:num w:numId="42" w16cid:durableId="1216890341">
    <w:abstractNumId w:val="0"/>
  </w:num>
  <w:num w:numId="43" w16cid:durableId="1119104660">
    <w:abstractNumId w:val="11"/>
  </w:num>
  <w:num w:numId="44" w16cid:durableId="439179990">
    <w:abstractNumId w:val="11"/>
  </w:num>
  <w:num w:numId="45" w16cid:durableId="1033574508">
    <w:abstractNumId w:val="11"/>
  </w:num>
  <w:num w:numId="46" w16cid:durableId="1795252090">
    <w:abstractNumId w:val="8"/>
  </w:num>
  <w:num w:numId="47" w16cid:durableId="583808105">
    <w:abstractNumId w:val="8"/>
  </w:num>
  <w:num w:numId="48" w16cid:durableId="1957365311">
    <w:abstractNumId w:val="11"/>
  </w:num>
  <w:num w:numId="49" w16cid:durableId="1381828821">
    <w:abstractNumId w:val="11"/>
  </w:num>
  <w:num w:numId="50" w16cid:durableId="9352088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5DA"/>
    <w:rsid w:val="00000778"/>
    <w:rsid w:val="00006E52"/>
    <w:rsid w:val="000109DC"/>
    <w:rsid w:val="00026794"/>
    <w:rsid w:val="00031AA9"/>
    <w:rsid w:val="000337A2"/>
    <w:rsid w:val="00042635"/>
    <w:rsid w:val="00053AF0"/>
    <w:rsid w:val="00060C67"/>
    <w:rsid w:val="00071D96"/>
    <w:rsid w:val="00080825"/>
    <w:rsid w:val="0008454A"/>
    <w:rsid w:val="000900F1"/>
    <w:rsid w:val="0009222C"/>
    <w:rsid w:val="000A678B"/>
    <w:rsid w:val="000A7827"/>
    <w:rsid w:val="000B678A"/>
    <w:rsid w:val="000C04DC"/>
    <w:rsid w:val="000D17D7"/>
    <w:rsid w:val="000D6691"/>
    <w:rsid w:val="000D7492"/>
    <w:rsid w:val="000D7B49"/>
    <w:rsid w:val="000E13C1"/>
    <w:rsid w:val="000E6C62"/>
    <w:rsid w:val="000E7ADB"/>
    <w:rsid w:val="000F1C79"/>
    <w:rsid w:val="000F2B80"/>
    <w:rsid w:val="000F6BB9"/>
    <w:rsid w:val="001038A5"/>
    <w:rsid w:val="00111C4A"/>
    <w:rsid w:val="00120AF1"/>
    <w:rsid w:val="00121F25"/>
    <w:rsid w:val="00124977"/>
    <w:rsid w:val="00127B18"/>
    <w:rsid w:val="0013527E"/>
    <w:rsid w:val="00135C46"/>
    <w:rsid w:val="00136106"/>
    <w:rsid w:val="00150BFC"/>
    <w:rsid w:val="00157DC0"/>
    <w:rsid w:val="00175DC7"/>
    <w:rsid w:val="00193992"/>
    <w:rsid w:val="0019564A"/>
    <w:rsid w:val="001A07D4"/>
    <w:rsid w:val="001A7E06"/>
    <w:rsid w:val="001B3284"/>
    <w:rsid w:val="001B3F68"/>
    <w:rsid w:val="001C25D6"/>
    <w:rsid w:val="001C2C77"/>
    <w:rsid w:val="001C4D92"/>
    <w:rsid w:val="001C62CC"/>
    <w:rsid w:val="001D01EC"/>
    <w:rsid w:val="001D2696"/>
    <w:rsid w:val="001E1E31"/>
    <w:rsid w:val="001E4462"/>
    <w:rsid w:val="001E55E2"/>
    <w:rsid w:val="001F034C"/>
    <w:rsid w:val="001F5FE4"/>
    <w:rsid w:val="0020083B"/>
    <w:rsid w:val="00202603"/>
    <w:rsid w:val="002079C3"/>
    <w:rsid w:val="0022040E"/>
    <w:rsid w:val="00220542"/>
    <w:rsid w:val="00232381"/>
    <w:rsid w:val="002339E9"/>
    <w:rsid w:val="002344C5"/>
    <w:rsid w:val="00240669"/>
    <w:rsid w:val="00241542"/>
    <w:rsid w:val="0024796A"/>
    <w:rsid w:val="002509A8"/>
    <w:rsid w:val="002534FC"/>
    <w:rsid w:val="00253DF2"/>
    <w:rsid w:val="002574EF"/>
    <w:rsid w:val="00264FE3"/>
    <w:rsid w:val="00274934"/>
    <w:rsid w:val="00276F1F"/>
    <w:rsid w:val="00284724"/>
    <w:rsid w:val="002867BB"/>
    <w:rsid w:val="00291C92"/>
    <w:rsid w:val="00292E5C"/>
    <w:rsid w:val="002A28A6"/>
    <w:rsid w:val="002A34C1"/>
    <w:rsid w:val="002A5AF4"/>
    <w:rsid w:val="002A6386"/>
    <w:rsid w:val="002A699A"/>
    <w:rsid w:val="002B5E02"/>
    <w:rsid w:val="002B7557"/>
    <w:rsid w:val="002D63C5"/>
    <w:rsid w:val="002D6F46"/>
    <w:rsid w:val="002E2A10"/>
    <w:rsid w:val="002E30B2"/>
    <w:rsid w:val="002E6BC6"/>
    <w:rsid w:val="002F2B84"/>
    <w:rsid w:val="002F7382"/>
    <w:rsid w:val="003012E3"/>
    <w:rsid w:val="003058F2"/>
    <w:rsid w:val="0031078C"/>
    <w:rsid w:val="00313F5C"/>
    <w:rsid w:val="00320AB5"/>
    <w:rsid w:val="003244A7"/>
    <w:rsid w:val="00331696"/>
    <w:rsid w:val="00334C3A"/>
    <w:rsid w:val="0035079A"/>
    <w:rsid w:val="00357543"/>
    <w:rsid w:val="00360A81"/>
    <w:rsid w:val="003627FB"/>
    <w:rsid w:val="0036421B"/>
    <w:rsid w:val="00382928"/>
    <w:rsid w:val="00385270"/>
    <w:rsid w:val="003857D9"/>
    <w:rsid w:val="00391D78"/>
    <w:rsid w:val="00393CEC"/>
    <w:rsid w:val="003A33A6"/>
    <w:rsid w:val="003A4D71"/>
    <w:rsid w:val="003A6B42"/>
    <w:rsid w:val="003B0931"/>
    <w:rsid w:val="003B2752"/>
    <w:rsid w:val="003B5D3E"/>
    <w:rsid w:val="003C1C58"/>
    <w:rsid w:val="003C5EAC"/>
    <w:rsid w:val="003C6F97"/>
    <w:rsid w:val="003D24DF"/>
    <w:rsid w:val="003E507A"/>
    <w:rsid w:val="003E5FDB"/>
    <w:rsid w:val="003F253D"/>
    <w:rsid w:val="003F623B"/>
    <w:rsid w:val="00404D31"/>
    <w:rsid w:val="0040621B"/>
    <w:rsid w:val="00411024"/>
    <w:rsid w:val="004112FB"/>
    <w:rsid w:val="00412140"/>
    <w:rsid w:val="0041490C"/>
    <w:rsid w:val="00421D8C"/>
    <w:rsid w:val="00423CC0"/>
    <w:rsid w:val="00434F59"/>
    <w:rsid w:val="00441E66"/>
    <w:rsid w:val="00443CB5"/>
    <w:rsid w:val="00450FAB"/>
    <w:rsid w:val="004523A5"/>
    <w:rsid w:val="004545DE"/>
    <w:rsid w:val="004572D9"/>
    <w:rsid w:val="00457EAC"/>
    <w:rsid w:val="004817AD"/>
    <w:rsid w:val="004867CE"/>
    <w:rsid w:val="0049013D"/>
    <w:rsid w:val="004934E8"/>
    <w:rsid w:val="00493C58"/>
    <w:rsid w:val="00493FDA"/>
    <w:rsid w:val="00494E1C"/>
    <w:rsid w:val="004A6CE1"/>
    <w:rsid w:val="004B3D58"/>
    <w:rsid w:val="004C4C50"/>
    <w:rsid w:val="004C7A6F"/>
    <w:rsid w:val="004C7BFB"/>
    <w:rsid w:val="004D004D"/>
    <w:rsid w:val="004D1912"/>
    <w:rsid w:val="004D1C99"/>
    <w:rsid w:val="004E07A4"/>
    <w:rsid w:val="004E1684"/>
    <w:rsid w:val="004E1C48"/>
    <w:rsid w:val="004E533B"/>
    <w:rsid w:val="004E631E"/>
    <w:rsid w:val="004E6571"/>
    <w:rsid w:val="004F51DA"/>
    <w:rsid w:val="004F7721"/>
    <w:rsid w:val="00500F24"/>
    <w:rsid w:val="005063AE"/>
    <w:rsid w:val="00507622"/>
    <w:rsid w:val="00512D01"/>
    <w:rsid w:val="00514801"/>
    <w:rsid w:val="00515E3C"/>
    <w:rsid w:val="00520FFC"/>
    <w:rsid w:val="0052142D"/>
    <w:rsid w:val="00542056"/>
    <w:rsid w:val="0055272C"/>
    <w:rsid w:val="0055561C"/>
    <w:rsid w:val="005601BB"/>
    <w:rsid w:val="0056530E"/>
    <w:rsid w:val="00567195"/>
    <w:rsid w:val="00570AF4"/>
    <w:rsid w:val="00577A7B"/>
    <w:rsid w:val="00587A69"/>
    <w:rsid w:val="00591434"/>
    <w:rsid w:val="005A5D2B"/>
    <w:rsid w:val="005B0A78"/>
    <w:rsid w:val="005D073E"/>
    <w:rsid w:val="005D3223"/>
    <w:rsid w:val="005D7EAA"/>
    <w:rsid w:val="005D7F12"/>
    <w:rsid w:val="005E5032"/>
    <w:rsid w:val="005E73A2"/>
    <w:rsid w:val="005E7918"/>
    <w:rsid w:val="005F0870"/>
    <w:rsid w:val="005F1626"/>
    <w:rsid w:val="005F1674"/>
    <w:rsid w:val="005F3A98"/>
    <w:rsid w:val="005F490B"/>
    <w:rsid w:val="00604064"/>
    <w:rsid w:val="00606C86"/>
    <w:rsid w:val="00607D4B"/>
    <w:rsid w:val="00611F35"/>
    <w:rsid w:val="00612331"/>
    <w:rsid w:val="00617AB1"/>
    <w:rsid w:val="00627E01"/>
    <w:rsid w:val="00642545"/>
    <w:rsid w:val="0064424F"/>
    <w:rsid w:val="0064570E"/>
    <w:rsid w:val="00650DB4"/>
    <w:rsid w:val="0065149E"/>
    <w:rsid w:val="006564A0"/>
    <w:rsid w:val="00657AEA"/>
    <w:rsid w:val="00660B53"/>
    <w:rsid w:val="00661505"/>
    <w:rsid w:val="00674CAD"/>
    <w:rsid w:val="006768A5"/>
    <w:rsid w:val="006772D8"/>
    <w:rsid w:val="006776C5"/>
    <w:rsid w:val="0068225B"/>
    <w:rsid w:val="0068591D"/>
    <w:rsid w:val="006942BE"/>
    <w:rsid w:val="006A3949"/>
    <w:rsid w:val="006B5E8E"/>
    <w:rsid w:val="006C2166"/>
    <w:rsid w:val="006C4C78"/>
    <w:rsid w:val="006C4D5D"/>
    <w:rsid w:val="006C5E87"/>
    <w:rsid w:val="006C6F5B"/>
    <w:rsid w:val="006E3BCE"/>
    <w:rsid w:val="006F06E7"/>
    <w:rsid w:val="006F20B5"/>
    <w:rsid w:val="006F2296"/>
    <w:rsid w:val="006F276F"/>
    <w:rsid w:val="006F5668"/>
    <w:rsid w:val="007015E8"/>
    <w:rsid w:val="00703ED9"/>
    <w:rsid w:val="0070551C"/>
    <w:rsid w:val="00711513"/>
    <w:rsid w:val="007150BC"/>
    <w:rsid w:val="00736146"/>
    <w:rsid w:val="00746408"/>
    <w:rsid w:val="0076012D"/>
    <w:rsid w:val="00766849"/>
    <w:rsid w:val="00766BDD"/>
    <w:rsid w:val="00770507"/>
    <w:rsid w:val="00780CBF"/>
    <w:rsid w:val="007810CB"/>
    <w:rsid w:val="00783AF7"/>
    <w:rsid w:val="007A39BF"/>
    <w:rsid w:val="007C2A40"/>
    <w:rsid w:val="007C2E13"/>
    <w:rsid w:val="007C2FFF"/>
    <w:rsid w:val="007C3AC2"/>
    <w:rsid w:val="007C6C6A"/>
    <w:rsid w:val="007D0114"/>
    <w:rsid w:val="007D1B02"/>
    <w:rsid w:val="007E0FF3"/>
    <w:rsid w:val="007E1140"/>
    <w:rsid w:val="007E2074"/>
    <w:rsid w:val="007E2412"/>
    <w:rsid w:val="007E3564"/>
    <w:rsid w:val="007F0953"/>
    <w:rsid w:val="007F4093"/>
    <w:rsid w:val="007F5767"/>
    <w:rsid w:val="007F662A"/>
    <w:rsid w:val="007F7A46"/>
    <w:rsid w:val="00800587"/>
    <w:rsid w:val="00821E9B"/>
    <w:rsid w:val="0083041D"/>
    <w:rsid w:val="00830BA9"/>
    <w:rsid w:val="00831607"/>
    <w:rsid w:val="0083197E"/>
    <w:rsid w:val="00832099"/>
    <w:rsid w:val="008335AB"/>
    <w:rsid w:val="00841E09"/>
    <w:rsid w:val="0084715D"/>
    <w:rsid w:val="00851DA7"/>
    <w:rsid w:val="00852DF7"/>
    <w:rsid w:val="00855C85"/>
    <w:rsid w:val="00855D7C"/>
    <w:rsid w:val="008577E8"/>
    <w:rsid w:val="00875DB3"/>
    <w:rsid w:val="00881D34"/>
    <w:rsid w:val="00882733"/>
    <w:rsid w:val="00887767"/>
    <w:rsid w:val="00891B4C"/>
    <w:rsid w:val="0089266B"/>
    <w:rsid w:val="00895206"/>
    <w:rsid w:val="008B0137"/>
    <w:rsid w:val="008B2654"/>
    <w:rsid w:val="008B4D0A"/>
    <w:rsid w:val="008B6502"/>
    <w:rsid w:val="008F222C"/>
    <w:rsid w:val="008F6FD3"/>
    <w:rsid w:val="00904D26"/>
    <w:rsid w:val="0090718D"/>
    <w:rsid w:val="00910153"/>
    <w:rsid w:val="00914D09"/>
    <w:rsid w:val="00920C8E"/>
    <w:rsid w:val="00922F84"/>
    <w:rsid w:val="009237C0"/>
    <w:rsid w:val="00934F70"/>
    <w:rsid w:val="009360B7"/>
    <w:rsid w:val="00940ABD"/>
    <w:rsid w:val="00946260"/>
    <w:rsid w:val="00952397"/>
    <w:rsid w:val="009574C1"/>
    <w:rsid w:val="009645B0"/>
    <w:rsid w:val="00966519"/>
    <w:rsid w:val="009732CB"/>
    <w:rsid w:val="00975B15"/>
    <w:rsid w:val="00994478"/>
    <w:rsid w:val="00996C52"/>
    <w:rsid w:val="009A4074"/>
    <w:rsid w:val="009A469B"/>
    <w:rsid w:val="009A6AFC"/>
    <w:rsid w:val="009A792D"/>
    <w:rsid w:val="009B223B"/>
    <w:rsid w:val="009B45C2"/>
    <w:rsid w:val="009B58FC"/>
    <w:rsid w:val="009B648C"/>
    <w:rsid w:val="009B70AA"/>
    <w:rsid w:val="009B7F3B"/>
    <w:rsid w:val="009C22BC"/>
    <w:rsid w:val="009C392D"/>
    <w:rsid w:val="009D3AA0"/>
    <w:rsid w:val="009D568C"/>
    <w:rsid w:val="009E1E48"/>
    <w:rsid w:val="009E3AA4"/>
    <w:rsid w:val="009F2559"/>
    <w:rsid w:val="009F5A95"/>
    <w:rsid w:val="00A007BF"/>
    <w:rsid w:val="00A02F22"/>
    <w:rsid w:val="00A04532"/>
    <w:rsid w:val="00A1012A"/>
    <w:rsid w:val="00A12487"/>
    <w:rsid w:val="00A176A2"/>
    <w:rsid w:val="00A26E37"/>
    <w:rsid w:val="00A432D4"/>
    <w:rsid w:val="00A47554"/>
    <w:rsid w:val="00A47758"/>
    <w:rsid w:val="00A5002A"/>
    <w:rsid w:val="00A5242D"/>
    <w:rsid w:val="00A5358E"/>
    <w:rsid w:val="00A56D3F"/>
    <w:rsid w:val="00A6614A"/>
    <w:rsid w:val="00A67A25"/>
    <w:rsid w:val="00A74EC5"/>
    <w:rsid w:val="00A920D3"/>
    <w:rsid w:val="00A93141"/>
    <w:rsid w:val="00A96BAA"/>
    <w:rsid w:val="00AA2B15"/>
    <w:rsid w:val="00AA2F38"/>
    <w:rsid w:val="00AB298E"/>
    <w:rsid w:val="00AC4007"/>
    <w:rsid w:val="00AC6F27"/>
    <w:rsid w:val="00AD4E34"/>
    <w:rsid w:val="00AD6C4F"/>
    <w:rsid w:val="00AE6017"/>
    <w:rsid w:val="00AE6A4A"/>
    <w:rsid w:val="00AF3308"/>
    <w:rsid w:val="00AF3B01"/>
    <w:rsid w:val="00AF3BBC"/>
    <w:rsid w:val="00AF59E5"/>
    <w:rsid w:val="00AF5CF5"/>
    <w:rsid w:val="00B0095D"/>
    <w:rsid w:val="00B01995"/>
    <w:rsid w:val="00B01B9F"/>
    <w:rsid w:val="00B04FDB"/>
    <w:rsid w:val="00B10F72"/>
    <w:rsid w:val="00B13BB3"/>
    <w:rsid w:val="00B3185E"/>
    <w:rsid w:val="00B320AB"/>
    <w:rsid w:val="00B37BA6"/>
    <w:rsid w:val="00B449F0"/>
    <w:rsid w:val="00B463E6"/>
    <w:rsid w:val="00B56863"/>
    <w:rsid w:val="00B641E3"/>
    <w:rsid w:val="00B64FCA"/>
    <w:rsid w:val="00B76E2F"/>
    <w:rsid w:val="00B77F3B"/>
    <w:rsid w:val="00B81AA6"/>
    <w:rsid w:val="00B918EC"/>
    <w:rsid w:val="00B91B9D"/>
    <w:rsid w:val="00BA6F57"/>
    <w:rsid w:val="00BA7208"/>
    <w:rsid w:val="00BB03C9"/>
    <w:rsid w:val="00BC724B"/>
    <w:rsid w:val="00BD1EDE"/>
    <w:rsid w:val="00BD7B99"/>
    <w:rsid w:val="00BE1F82"/>
    <w:rsid w:val="00BE45CF"/>
    <w:rsid w:val="00BF0BD0"/>
    <w:rsid w:val="00BF141E"/>
    <w:rsid w:val="00BF1F32"/>
    <w:rsid w:val="00BF295A"/>
    <w:rsid w:val="00BF4CE0"/>
    <w:rsid w:val="00C05698"/>
    <w:rsid w:val="00C22EC7"/>
    <w:rsid w:val="00C2671B"/>
    <w:rsid w:val="00C35295"/>
    <w:rsid w:val="00C404FE"/>
    <w:rsid w:val="00C40EAB"/>
    <w:rsid w:val="00C45C9D"/>
    <w:rsid w:val="00C46E4E"/>
    <w:rsid w:val="00C61CD3"/>
    <w:rsid w:val="00C65691"/>
    <w:rsid w:val="00C67F5F"/>
    <w:rsid w:val="00C74F32"/>
    <w:rsid w:val="00C81CF9"/>
    <w:rsid w:val="00C840F3"/>
    <w:rsid w:val="00C86F8F"/>
    <w:rsid w:val="00C9183E"/>
    <w:rsid w:val="00C93B0A"/>
    <w:rsid w:val="00C969BD"/>
    <w:rsid w:val="00CB2680"/>
    <w:rsid w:val="00CB4C83"/>
    <w:rsid w:val="00CC58A2"/>
    <w:rsid w:val="00CD379E"/>
    <w:rsid w:val="00CD5213"/>
    <w:rsid w:val="00CE1600"/>
    <w:rsid w:val="00D02827"/>
    <w:rsid w:val="00D02F5C"/>
    <w:rsid w:val="00D1184B"/>
    <w:rsid w:val="00D20EB0"/>
    <w:rsid w:val="00D52510"/>
    <w:rsid w:val="00D54F4D"/>
    <w:rsid w:val="00D55A18"/>
    <w:rsid w:val="00D611FE"/>
    <w:rsid w:val="00D64525"/>
    <w:rsid w:val="00D901AF"/>
    <w:rsid w:val="00D914C5"/>
    <w:rsid w:val="00DA2735"/>
    <w:rsid w:val="00DA6439"/>
    <w:rsid w:val="00DB2BEC"/>
    <w:rsid w:val="00DB3E94"/>
    <w:rsid w:val="00DB5D3A"/>
    <w:rsid w:val="00DC66D0"/>
    <w:rsid w:val="00DD167D"/>
    <w:rsid w:val="00DD62BF"/>
    <w:rsid w:val="00DE0EA9"/>
    <w:rsid w:val="00DE3040"/>
    <w:rsid w:val="00DF05A4"/>
    <w:rsid w:val="00DF05D3"/>
    <w:rsid w:val="00DF1D97"/>
    <w:rsid w:val="00DF2614"/>
    <w:rsid w:val="00E03F42"/>
    <w:rsid w:val="00E11BCE"/>
    <w:rsid w:val="00E1506D"/>
    <w:rsid w:val="00E15856"/>
    <w:rsid w:val="00E2140B"/>
    <w:rsid w:val="00E2586A"/>
    <w:rsid w:val="00E31982"/>
    <w:rsid w:val="00E37DC6"/>
    <w:rsid w:val="00E455B7"/>
    <w:rsid w:val="00E47505"/>
    <w:rsid w:val="00E47EC6"/>
    <w:rsid w:val="00E555A0"/>
    <w:rsid w:val="00E625F5"/>
    <w:rsid w:val="00E635DA"/>
    <w:rsid w:val="00E8713F"/>
    <w:rsid w:val="00E87EFF"/>
    <w:rsid w:val="00E904CF"/>
    <w:rsid w:val="00E90EBA"/>
    <w:rsid w:val="00E92366"/>
    <w:rsid w:val="00E956BA"/>
    <w:rsid w:val="00E97B2A"/>
    <w:rsid w:val="00EA614C"/>
    <w:rsid w:val="00EA70AF"/>
    <w:rsid w:val="00EB0451"/>
    <w:rsid w:val="00EB2899"/>
    <w:rsid w:val="00EC0E03"/>
    <w:rsid w:val="00EC1896"/>
    <w:rsid w:val="00EC3D49"/>
    <w:rsid w:val="00EC4DB3"/>
    <w:rsid w:val="00EC4E2E"/>
    <w:rsid w:val="00EC4F7C"/>
    <w:rsid w:val="00ED3F03"/>
    <w:rsid w:val="00EE464A"/>
    <w:rsid w:val="00EE672D"/>
    <w:rsid w:val="00EF3678"/>
    <w:rsid w:val="00EF7C35"/>
    <w:rsid w:val="00F0138F"/>
    <w:rsid w:val="00F0314E"/>
    <w:rsid w:val="00F0379A"/>
    <w:rsid w:val="00F03AF9"/>
    <w:rsid w:val="00F03D2A"/>
    <w:rsid w:val="00F11169"/>
    <w:rsid w:val="00F11D4B"/>
    <w:rsid w:val="00F12BE7"/>
    <w:rsid w:val="00F27166"/>
    <w:rsid w:val="00F320D8"/>
    <w:rsid w:val="00F54D73"/>
    <w:rsid w:val="00F569B2"/>
    <w:rsid w:val="00F571E2"/>
    <w:rsid w:val="00F63BF1"/>
    <w:rsid w:val="00F64730"/>
    <w:rsid w:val="00F64C7D"/>
    <w:rsid w:val="00F64D3D"/>
    <w:rsid w:val="00F64E44"/>
    <w:rsid w:val="00F650A6"/>
    <w:rsid w:val="00F72612"/>
    <w:rsid w:val="00F7666D"/>
    <w:rsid w:val="00F76E76"/>
    <w:rsid w:val="00F9299C"/>
    <w:rsid w:val="00F947C7"/>
    <w:rsid w:val="00F94E96"/>
    <w:rsid w:val="00F94F21"/>
    <w:rsid w:val="00F95039"/>
    <w:rsid w:val="00FB7776"/>
    <w:rsid w:val="00FD706A"/>
    <w:rsid w:val="00FE30BF"/>
    <w:rsid w:val="00FE6457"/>
    <w:rsid w:val="00FF0C73"/>
    <w:rsid w:val="00FF15A9"/>
    <w:rsid w:val="00FF17F9"/>
    <w:rsid w:val="00FF3944"/>
    <w:rsid w:val="00FF7751"/>
    <w:rsid w:val="00FF7E7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5D45F6"/>
  <w15:docId w15:val="{F3851352-6EF9-43AE-8C03-36BBA9C0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C2166"/>
    <w:pPr>
      <w:spacing w:before="160" w:after="0" w:line="312" w:lineRule="auto"/>
    </w:pPr>
    <w:rPr>
      <w:sz w:val="20"/>
      <w:szCs w:val="18"/>
      <w:lang w:val="en-GB"/>
    </w:rPr>
  </w:style>
  <w:style w:type="paragraph" w:styleId="Heading1">
    <w:name w:val="heading 1"/>
    <w:aliases w:val="Num Heading 1"/>
    <w:basedOn w:val="Normal"/>
    <w:next w:val="Normal"/>
    <w:link w:val="Heading1Char"/>
    <w:uiPriority w:val="1"/>
    <w:qFormat/>
    <w:rsid w:val="003F253D"/>
    <w:pPr>
      <w:keepNext/>
      <w:keepLines/>
      <w:numPr>
        <w:numId w:val="45"/>
      </w:numPr>
      <w:spacing w:before="240" w:line="276" w:lineRule="auto"/>
      <w:outlineLvl w:val="0"/>
    </w:pPr>
    <w:rPr>
      <w:b/>
      <w:caps/>
      <w:color w:val="1ED2E6" w:themeColor="accent1"/>
      <w:sz w:val="24"/>
      <w:szCs w:val="24"/>
    </w:rPr>
  </w:style>
  <w:style w:type="paragraph" w:styleId="Heading2">
    <w:name w:val="heading 2"/>
    <w:aliases w:val="Num Heading 2"/>
    <w:basedOn w:val="Normal"/>
    <w:next w:val="Normal"/>
    <w:link w:val="Heading2Char"/>
    <w:uiPriority w:val="1"/>
    <w:unhideWhenUsed/>
    <w:qFormat/>
    <w:rsid w:val="003F253D"/>
    <w:pPr>
      <w:keepNext/>
      <w:keepLines/>
      <w:numPr>
        <w:ilvl w:val="1"/>
        <w:numId w:val="45"/>
      </w:numPr>
      <w:spacing w:before="120" w:line="276" w:lineRule="auto"/>
      <w:outlineLvl w:val="1"/>
    </w:pPr>
    <w:rPr>
      <w:b/>
      <w:color w:val="1ED2E6" w:themeColor="accent1"/>
      <w:sz w:val="22"/>
      <w:szCs w:val="22"/>
    </w:rPr>
  </w:style>
  <w:style w:type="paragraph" w:styleId="Heading3">
    <w:name w:val="heading 3"/>
    <w:aliases w:val="Num Heading 3"/>
    <w:basedOn w:val="Normal"/>
    <w:next w:val="Normal"/>
    <w:link w:val="Heading3Char"/>
    <w:uiPriority w:val="1"/>
    <w:unhideWhenUsed/>
    <w:qFormat/>
    <w:rsid w:val="003F253D"/>
    <w:pPr>
      <w:keepNext/>
      <w:keepLines/>
      <w:numPr>
        <w:ilvl w:val="2"/>
        <w:numId w:val="45"/>
      </w:numPr>
      <w:spacing w:line="276" w:lineRule="auto"/>
      <w:outlineLvl w:val="2"/>
    </w:pPr>
    <w:rPr>
      <w:bCs/>
      <w:color w:val="1ED2E6" w:themeColor="accent1"/>
      <w:szCs w:val="20"/>
    </w:rPr>
  </w:style>
  <w:style w:type="paragraph" w:styleId="Heading4">
    <w:name w:val="heading 4"/>
    <w:aliases w:val="Num Heading 4"/>
    <w:basedOn w:val="Normal"/>
    <w:next w:val="Normal"/>
    <w:link w:val="Heading4Char"/>
    <w:uiPriority w:val="1"/>
    <w:unhideWhenUsed/>
    <w:qFormat/>
    <w:rsid w:val="003F253D"/>
    <w:pPr>
      <w:keepNext/>
      <w:keepLines/>
      <w:numPr>
        <w:ilvl w:val="3"/>
        <w:numId w:val="45"/>
      </w:numPr>
      <w:spacing w:line="276" w:lineRule="auto"/>
      <w:outlineLvl w:val="3"/>
    </w:pPr>
    <w:rPr>
      <w:bCs/>
      <w:color w:val="5A5B5E" w:themeColor="background2"/>
      <w:szCs w:val="20"/>
    </w:rPr>
  </w:style>
  <w:style w:type="paragraph" w:styleId="Heading5">
    <w:name w:val="heading 5"/>
    <w:aliases w:val="Num Heading 5"/>
    <w:basedOn w:val="Normal"/>
    <w:next w:val="Normal"/>
    <w:link w:val="Heading5Char"/>
    <w:uiPriority w:val="1"/>
    <w:unhideWhenUsed/>
    <w:qFormat/>
    <w:rsid w:val="003F253D"/>
    <w:pPr>
      <w:keepNext/>
      <w:keepLines/>
      <w:numPr>
        <w:ilvl w:val="4"/>
        <w:numId w:val="45"/>
      </w:numPr>
      <w:spacing w:line="276" w:lineRule="auto"/>
      <w:outlineLvl w:val="4"/>
    </w:pPr>
    <w:rPr>
      <w:bCs/>
      <w:color w:val="9B9C9F" w:themeColor="background2" w:themeTint="99"/>
    </w:rPr>
  </w:style>
  <w:style w:type="paragraph" w:styleId="Heading6">
    <w:name w:val="heading 6"/>
    <w:aliases w:val="Num Heading 6"/>
    <w:basedOn w:val="Normal"/>
    <w:next w:val="Normal"/>
    <w:link w:val="Heading6Char"/>
    <w:uiPriority w:val="1"/>
    <w:unhideWhenUsed/>
    <w:qFormat/>
    <w:rsid w:val="003F253D"/>
    <w:pPr>
      <w:keepNext/>
      <w:keepLines/>
      <w:numPr>
        <w:ilvl w:val="5"/>
        <w:numId w:val="45"/>
      </w:numPr>
      <w:spacing w:line="276" w:lineRule="auto"/>
      <w:outlineLvl w:val="5"/>
    </w:pPr>
    <w:rPr>
      <w:bCs/>
      <w:color w:val="BABCBF" w:themeColor="accent6"/>
    </w:rPr>
  </w:style>
  <w:style w:type="paragraph" w:styleId="Heading7">
    <w:name w:val="heading 7"/>
    <w:basedOn w:val="Normal"/>
    <w:next w:val="Normal"/>
    <w:link w:val="Heading7Char"/>
    <w:uiPriority w:val="9"/>
    <w:semiHidden/>
    <w:qFormat/>
    <w:rsid w:val="003F253D"/>
    <w:pPr>
      <w:outlineLvl w:val="6"/>
    </w:pPr>
  </w:style>
  <w:style w:type="paragraph" w:styleId="Heading8">
    <w:name w:val="heading 8"/>
    <w:basedOn w:val="Normal"/>
    <w:next w:val="Normal"/>
    <w:link w:val="Heading8Char"/>
    <w:uiPriority w:val="9"/>
    <w:semiHidden/>
    <w:qFormat/>
    <w:rsid w:val="003F253D"/>
    <w:pPr>
      <w:outlineLvl w:val="7"/>
    </w:pPr>
  </w:style>
  <w:style w:type="paragraph" w:styleId="Heading9">
    <w:name w:val="heading 9"/>
    <w:basedOn w:val="Normal"/>
    <w:next w:val="Normal"/>
    <w:link w:val="Heading9Char"/>
    <w:uiPriority w:val="9"/>
    <w:semiHidden/>
    <w:qFormat/>
    <w:rsid w:val="003F253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B91B9D"/>
    <w:pPr>
      <w:spacing w:before="0" w:line="200" w:lineRule="atLeast"/>
      <w:contextualSpacing/>
    </w:pPr>
    <w:rPr>
      <w:rFonts w:asciiTheme="majorHAnsi" w:eastAsiaTheme="majorEastAsia" w:hAnsiTheme="majorHAnsi" w:cstheme="majorBidi"/>
      <w:b/>
      <w:caps/>
      <w:color w:val="1ED2E6" w:themeColor="accent1"/>
      <w:spacing w:val="-10"/>
      <w:kern w:val="28"/>
      <w:sz w:val="60"/>
      <w:szCs w:val="60"/>
    </w:rPr>
  </w:style>
  <w:style w:type="character" w:customStyle="1" w:styleId="TitleChar">
    <w:name w:val="Title Char"/>
    <w:basedOn w:val="DefaultParagraphFont"/>
    <w:link w:val="Title"/>
    <w:uiPriority w:val="99"/>
    <w:rsid w:val="00B91B9D"/>
    <w:rPr>
      <w:rFonts w:asciiTheme="majorHAnsi" w:eastAsiaTheme="majorEastAsia" w:hAnsiTheme="majorHAnsi" w:cstheme="majorBidi"/>
      <w:b/>
      <w:caps/>
      <w:color w:val="1ED2E6" w:themeColor="accent1"/>
      <w:spacing w:val="-10"/>
      <w:kern w:val="28"/>
      <w:sz w:val="60"/>
      <w:szCs w:val="60"/>
      <w:lang w:val="en-GB"/>
    </w:rPr>
  </w:style>
  <w:style w:type="paragraph" w:styleId="Subtitle">
    <w:name w:val="Subtitle"/>
    <w:basedOn w:val="Normal"/>
    <w:next w:val="Normal"/>
    <w:link w:val="SubtitleChar"/>
    <w:uiPriority w:val="99"/>
    <w:qFormat/>
    <w:rsid w:val="00B91B9D"/>
    <w:pPr>
      <w:numPr>
        <w:ilvl w:val="1"/>
      </w:numPr>
      <w:spacing w:before="0" w:after="960" w:line="400" w:lineRule="exact"/>
    </w:pPr>
    <w:rPr>
      <w:rFonts w:eastAsiaTheme="minorEastAsia"/>
      <w:b/>
      <w:bCs/>
      <w:color w:val="1ED2E6" w:themeColor="accent1"/>
      <w:sz w:val="32"/>
      <w:szCs w:val="32"/>
    </w:rPr>
  </w:style>
  <w:style w:type="character" w:customStyle="1" w:styleId="SubtitleChar">
    <w:name w:val="Subtitle Char"/>
    <w:basedOn w:val="DefaultParagraphFont"/>
    <w:link w:val="Subtitle"/>
    <w:uiPriority w:val="99"/>
    <w:rsid w:val="00B91B9D"/>
    <w:rPr>
      <w:rFonts w:eastAsiaTheme="minorEastAsia"/>
      <w:b/>
      <w:bCs/>
      <w:color w:val="1ED2E6" w:themeColor="accent1"/>
      <w:sz w:val="32"/>
      <w:szCs w:val="32"/>
      <w:lang w:val="en-GB"/>
    </w:rPr>
  </w:style>
  <w:style w:type="character" w:customStyle="1" w:styleId="Heading1Char">
    <w:name w:val="Heading 1 Char"/>
    <w:aliases w:val="Num Heading 1 Char"/>
    <w:basedOn w:val="DefaultParagraphFont"/>
    <w:link w:val="Heading1"/>
    <w:uiPriority w:val="1"/>
    <w:rsid w:val="003F253D"/>
    <w:rPr>
      <w:b/>
      <w:caps/>
      <w:color w:val="1ED2E6" w:themeColor="accent1"/>
      <w:sz w:val="24"/>
      <w:szCs w:val="24"/>
      <w:lang w:val="en-GB"/>
    </w:rPr>
  </w:style>
  <w:style w:type="character" w:customStyle="1" w:styleId="Heading2Char">
    <w:name w:val="Heading 2 Char"/>
    <w:aliases w:val="Num Heading 2 Char"/>
    <w:basedOn w:val="DefaultParagraphFont"/>
    <w:link w:val="Heading2"/>
    <w:uiPriority w:val="1"/>
    <w:rsid w:val="003F253D"/>
    <w:rPr>
      <w:b/>
      <w:color w:val="1ED2E6" w:themeColor="accent1"/>
      <w:lang w:val="en-GB"/>
    </w:rPr>
  </w:style>
  <w:style w:type="character" w:customStyle="1" w:styleId="Heading3Char">
    <w:name w:val="Heading 3 Char"/>
    <w:aliases w:val="Num Heading 3 Char"/>
    <w:basedOn w:val="DefaultParagraphFont"/>
    <w:link w:val="Heading3"/>
    <w:uiPriority w:val="1"/>
    <w:rsid w:val="003F253D"/>
    <w:rPr>
      <w:bCs/>
      <w:color w:val="1ED2E6" w:themeColor="accent1"/>
      <w:sz w:val="20"/>
      <w:szCs w:val="20"/>
      <w:lang w:val="en-GB"/>
    </w:rPr>
  </w:style>
  <w:style w:type="character" w:customStyle="1" w:styleId="Heading4Char">
    <w:name w:val="Heading 4 Char"/>
    <w:aliases w:val="Num Heading 4 Char"/>
    <w:basedOn w:val="DefaultParagraphFont"/>
    <w:link w:val="Heading4"/>
    <w:uiPriority w:val="1"/>
    <w:rsid w:val="003F253D"/>
    <w:rPr>
      <w:bCs/>
      <w:color w:val="5A5B5E" w:themeColor="background2"/>
      <w:sz w:val="20"/>
      <w:szCs w:val="20"/>
      <w:lang w:val="en-GB"/>
    </w:rPr>
  </w:style>
  <w:style w:type="character" w:customStyle="1" w:styleId="Heading5Char">
    <w:name w:val="Heading 5 Char"/>
    <w:aliases w:val="Num Heading 5 Char"/>
    <w:basedOn w:val="DefaultParagraphFont"/>
    <w:link w:val="Heading5"/>
    <w:uiPriority w:val="1"/>
    <w:rsid w:val="003F253D"/>
    <w:rPr>
      <w:bCs/>
      <w:color w:val="9B9C9F" w:themeColor="background2" w:themeTint="99"/>
      <w:sz w:val="20"/>
      <w:szCs w:val="18"/>
      <w:lang w:val="en-GB"/>
    </w:rPr>
  </w:style>
  <w:style w:type="character" w:customStyle="1" w:styleId="Heading6Char">
    <w:name w:val="Heading 6 Char"/>
    <w:aliases w:val="Num Heading 6 Char"/>
    <w:basedOn w:val="DefaultParagraphFont"/>
    <w:link w:val="Heading6"/>
    <w:uiPriority w:val="1"/>
    <w:rsid w:val="003F253D"/>
    <w:rPr>
      <w:bCs/>
      <w:color w:val="BABCBF" w:themeColor="accent6"/>
      <w:sz w:val="20"/>
      <w:szCs w:val="18"/>
      <w:lang w:val="en-GB"/>
    </w:rPr>
  </w:style>
  <w:style w:type="character" w:customStyle="1" w:styleId="Heading7Char">
    <w:name w:val="Heading 7 Char"/>
    <w:basedOn w:val="DefaultParagraphFont"/>
    <w:link w:val="Heading7"/>
    <w:uiPriority w:val="9"/>
    <w:semiHidden/>
    <w:rsid w:val="003F253D"/>
    <w:rPr>
      <w:sz w:val="20"/>
      <w:szCs w:val="18"/>
      <w:lang w:val="en-GB"/>
    </w:rPr>
  </w:style>
  <w:style w:type="character" w:customStyle="1" w:styleId="Heading8Char">
    <w:name w:val="Heading 8 Char"/>
    <w:basedOn w:val="DefaultParagraphFont"/>
    <w:link w:val="Heading8"/>
    <w:uiPriority w:val="9"/>
    <w:semiHidden/>
    <w:rsid w:val="003F253D"/>
    <w:rPr>
      <w:sz w:val="20"/>
      <w:szCs w:val="18"/>
      <w:lang w:val="en-GB"/>
    </w:rPr>
  </w:style>
  <w:style w:type="character" w:customStyle="1" w:styleId="Heading9Char">
    <w:name w:val="Heading 9 Char"/>
    <w:basedOn w:val="DefaultParagraphFont"/>
    <w:link w:val="Heading9"/>
    <w:uiPriority w:val="9"/>
    <w:semiHidden/>
    <w:rsid w:val="003F253D"/>
    <w:rPr>
      <w:sz w:val="20"/>
      <w:szCs w:val="18"/>
      <w:lang w:val="en-GB"/>
    </w:rPr>
  </w:style>
  <w:style w:type="paragraph" w:styleId="ListParagraph">
    <w:name w:val="List Paragraph"/>
    <w:basedOn w:val="Normal"/>
    <w:uiPriority w:val="34"/>
    <w:semiHidden/>
    <w:qFormat/>
    <w:rsid w:val="003F253D"/>
    <w:pPr>
      <w:ind w:left="720"/>
      <w:contextualSpacing/>
    </w:pPr>
  </w:style>
  <w:style w:type="character" w:styleId="Strong">
    <w:name w:val="Strong"/>
    <w:aliases w:val="*Bold"/>
    <w:basedOn w:val="DefaultParagraphFont"/>
    <w:uiPriority w:val="99"/>
    <w:qFormat/>
    <w:rsid w:val="003F253D"/>
    <w:rPr>
      <w:b/>
      <w:bCs/>
    </w:rPr>
  </w:style>
  <w:style w:type="character" w:styleId="Emphasis">
    <w:name w:val="Emphasis"/>
    <w:aliases w:val="*Italics"/>
    <w:basedOn w:val="DefaultParagraphFont"/>
    <w:uiPriority w:val="99"/>
    <w:qFormat/>
    <w:rsid w:val="003F253D"/>
    <w:rPr>
      <w:i/>
      <w:iCs/>
    </w:rPr>
  </w:style>
  <w:style w:type="paragraph" w:styleId="ListBullet">
    <w:name w:val="List Bullet"/>
    <w:basedOn w:val="ListParagraph"/>
    <w:qFormat/>
    <w:rsid w:val="003F253D"/>
    <w:pPr>
      <w:numPr>
        <w:numId w:val="39"/>
      </w:numPr>
    </w:pPr>
    <w:rPr>
      <w:color w:val="5B5D62" w:themeColor="accent6" w:themeShade="80"/>
    </w:rPr>
  </w:style>
  <w:style w:type="paragraph" w:styleId="ListBullet2">
    <w:name w:val="List Bullet 2"/>
    <w:basedOn w:val="Normal"/>
    <w:qFormat/>
    <w:rsid w:val="003F253D"/>
    <w:pPr>
      <w:numPr>
        <w:ilvl w:val="1"/>
        <w:numId w:val="39"/>
      </w:numPr>
      <w:contextualSpacing/>
    </w:pPr>
    <w:rPr>
      <w:color w:val="5B5D62" w:themeColor="accent6" w:themeShade="80"/>
    </w:rPr>
  </w:style>
  <w:style w:type="paragraph" w:styleId="ListBullet3">
    <w:name w:val="List Bullet 3"/>
    <w:basedOn w:val="Normal"/>
    <w:qFormat/>
    <w:rsid w:val="003F253D"/>
    <w:pPr>
      <w:numPr>
        <w:ilvl w:val="2"/>
        <w:numId w:val="39"/>
      </w:numPr>
      <w:contextualSpacing/>
    </w:pPr>
    <w:rPr>
      <w:color w:val="5B5D62" w:themeColor="accent6" w:themeShade="80"/>
    </w:rPr>
  </w:style>
  <w:style w:type="paragraph" w:styleId="Header">
    <w:name w:val="header"/>
    <w:basedOn w:val="Normal"/>
    <w:link w:val="HeaderChar"/>
    <w:uiPriority w:val="99"/>
    <w:unhideWhenUsed/>
    <w:rsid w:val="003F253D"/>
    <w:pPr>
      <w:tabs>
        <w:tab w:val="center" w:pos="4513"/>
        <w:tab w:val="right" w:pos="9026"/>
      </w:tabs>
      <w:spacing w:line="240" w:lineRule="auto"/>
    </w:pPr>
  </w:style>
  <w:style w:type="character" w:customStyle="1" w:styleId="HeaderChar">
    <w:name w:val="Header Char"/>
    <w:basedOn w:val="DefaultParagraphFont"/>
    <w:link w:val="Header"/>
    <w:uiPriority w:val="99"/>
    <w:rsid w:val="003F253D"/>
    <w:rPr>
      <w:sz w:val="20"/>
      <w:szCs w:val="18"/>
      <w:lang w:val="en-GB"/>
    </w:rPr>
  </w:style>
  <w:style w:type="paragraph" w:styleId="Footer">
    <w:name w:val="footer"/>
    <w:basedOn w:val="Normal"/>
    <w:link w:val="FooterChar"/>
    <w:uiPriority w:val="99"/>
    <w:unhideWhenUsed/>
    <w:rsid w:val="003F253D"/>
    <w:pPr>
      <w:pBdr>
        <w:top w:val="single" w:sz="4" w:space="16" w:color="5B5D62" w:themeColor="accent6" w:themeShade="80"/>
      </w:pBdr>
      <w:tabs>
        <w:tab w:val="center" w:pos="4513"/>
        <w:tab w:val="right" w:pos="9026"/>
      </w:tabs>
      <w:spacing w:line="240" w:lineRule="auto"/>
    </w:pPr>
    <w:rPr>
      <w:color w:val="5B5D62" w:themeColor="accent6" w:themeShade="80"/>
      <w:sz w:val="16"/>
    </w:rPr>
  </w:style>
  <w:style w:type="character" w:customStyle="1" w:styleId="FooterChar">
    <w:name w:val="Footer Char"/>
    <w:basedOn w:val="DefaultParagraphFont"/>
    <w:link w:val="Footer"/>
    <w:uiPriority w:val="99"/>
    <w:rsid w:val="003F253D"/>
    <w:rPr>
      <w:color w:val="5B5D62" w:themeColor="accent6" w:themeShade="80"/>
      <w:sz w:val="16"/>
      <w:szCs w:val="18"/>
      <w:lang w:val="en-GB"/>
    </w:rPr>
  </w:style>
  <w:style w:type="paragraph" w:customStyle="1" w:styleId="Subpara1">
    <w:name w:val="Subpara 1"/>
    <w:basedOn w:val="Heading7"/>
    <w:next w:val="Normal"/>
    <w:uiPriority w:val="1"/>
    <w:qFormat/>
    <w:rsid w:val="003F253D"/>
    <w:pPr>
      <w:numPr>
        <w:ilvl w:val="6"/>
        <w:numId w:val="45"/>
      </w:numPr>
      <w:contextualSpacing/>
    </w:pPr>
    <w:rPr>
      <w:color w:val="5B5D62" w:themeColor="accent6" w:themeShade="80"/>
    </w:rPr>
  </w:style>
  <w:style w:type="paragraph" w:customStyle="1" w:styleId="Subpara2">
    <w:name w:val="Subpara 2"/>
    <w:basedOn w:val="Heading8"/>
    <w:next w:val="Normal"/>
    <w:uiPriority w:val="1"/>
    <w:qFormat/>
    <w:rsid w:val="003F253D"/>
    <w:pPr>
      <w:numPr>
        <w:ilvl w:val="7"/>
        <w:numId w:val="45"/>
      </w:numPr>
      <w:contextualSpacing/>
    </w:pPr>
    <w:rPr>
      <w:color w:val="5B5D62" w:themeColor="accent6" w:themeShade="80"/>
    </w:rPr>
  </w:style>
  <w:style w:type="paragraph" w:customStyle="1" w:styleId="Subpara3">
    <w:name w:val="Subpara 3"/>
    <w:basedOn w:val="Heading9"/>
    <w:next w:val="Normal"/>
    <w:uiPriority w:val="1"/>
    <w:qFormat/>
    <w:rsid w:val="003F253D"/>
    <w:pPr>
      <w:numPr>
        <w:ilvl w:val="8"/>
        <w:numId w:val="45"/>
      </w:numPr>
      <w:contextualSpacing/>
    </w:pPr>
    <w:rPr>
      <w:color w:val="5B5D62" w:themeColor="accent6" w:themeShade="80"/>
    </w:rPr>
  </w:style>
  <w:style w:type="table" w:styleId="TableGrid">
    <w:name w:val="Table Grid"/>
    <w:basedOn w:val="TableNormal"/>
    <w:uiPriority w:val="39"/>
    <w:rsid w:val="003F2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Table">
    <w:name w:val="CA_Table"/>
    <w:basedOn w:val="TableNormal"/>
    <w:uiPriority w:val="99"/>
    <w:rsid w:val="00E2586A"/>
    <w:pPr>
      <w:spacing w:after="0" w:line="240" w:lineRule="auto"/>
    </w:p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F1F1F2" w:themeFill="accent6" w:themeFillTint="33"/>
    </w:tcPr>
    <w:tblStylePr w:type="firstRow">
      <w:pPr>
        <w:jc w:val="left"/>
      </w:pPr>
      <w:rPr>
        <w:b w:val="0"/>
        <w:caps w:val="0"/>
        <w:smallCaps w:val="0"/>
        <w:color w:val="auto"/>
      </w:rPr>
      <w:tblPr/>
      <w:trPr>
        <w:tblHeader/>
      </w:trPr>
      <w:tcPr>
        <w:shd w:val="clear" w:color="auto" w:fill="1ED2E6" w:themeFill="accent1"/>
        <w:vAlign w:val="bottom"/>
      </w:tcPr>
    </w:tblStylePr>
    <w:tblStylePr w:type="lastRow">
      <w:rPr>
        <w:b/>
      </w:rPr>
    </w:tblStylePr>
    <w:tblStylePr w:type="firstCol">
      <w:tblPr/>
      <w:tcPr>
        <w:shd w:val="clear" w:color="auto" w:fill="C9C9C9"/>
      </w:tcPr>
    </w:tblStylePr>
  </w:style>
  <w:style w:type="paragraph" w:customStyle="1" w:styleId="Tabletext">
    <w:name w:val="Table text"/>
    <w:basedOn w:val="Normal"/>
    <w:uiPriority w:val="2"/>
    <w:qFormat/>
    <w:rsid w:val="003F253D"/>
    <w:pPr>
      <w:spacing w:before="60" w:after="60" w:line="264" w:lineRule="auto"/>
    </w:pPr>
    <w:rPr>
      <w:color w:val="5B5D62" w:themeColor="accent6" w:themeShade="80"/>
    </w:rPr>
  </w:style>
  <w:style w:type="paragraph" w:customStyle="1" w:styleId="Tablenumbers">
    <w:name w:val="Table numbers"/>
    <w:basedOn w:val="Tabletext"/>
    <w:qFormat/>
    <w:rsid w:val="003F253D"/>
    <w:pPr>
      <w:jc w:val="right"/>
    </w:pPr>
  </w:style>
  <w:style w:type="table" w:customStyle="1" w:styleId="CABlank">
    <w:name w:val="CA_Blank"/>
    <w:basedOn w:val="TableNormal"/>
    <w:uiPriority w:val="99"/>
    <w:rsid w:val="003F253D"/>
    <w:pPr>
      <w:spacing w:after="0" w:line="240" w:lineRule="auto"/>
    </w:pPr>
    <w:tblPr>
      <w:tblCellMar>
        <w:left w:w="0" w:type="dxa"/>
        <w:right w:w="0" w:type="dxa"/>
      </w:tblCellMar>
    </w:tblPr>
  </w:style>
  <w:style w:type="paragraph" w:styleId="BodyText">
    <w:name w:val="Body Text"/>
    <w:basedOn w:val="Normal"/>
    <w:link w:val="BodyTextChar"/>
    <w:qFormat/>
    <w:rsid w:val="003F253D"/>
    <w:rPr>
      <w:color w:val="5B5D62" w:themeColor="accent6" w:themeShade="80"/>
    </w:rPr>
  </w:style>
  <w:style w:type="character" w:customStyle="1" w:styleId="BodyTextChar">
    <w:name w:val="Body Text Char"/>
    <w:basedOn w:val="DefaultParagraphFont"/>
    <w:link w:val="BodyText"/>
    <w:rsid w:val="006C2166"/>
    <w:rPr>
      <w:color w:val="5B5D62" w:themeColor="accent6" w:themeShade="80"/>
      <w:sz w:val="20"/>
      <w:szCs w:val="18"/>
      <w:lang w:val="en-GB"/>
    </w:rPr>
  </w:style>
  <w:style w:type="paragraph" w:customStyle="1" w:styleId="Tablenumbersheading">
    <w:name w:val="Table numbers (heading)"/>
    <w:basedOn w:val="Tablenumbers"/>
    <w:qFormat/>
    <w:rsid w:val="003F253D"/>
    <w:rPr>
      <w:b/>
      <w:color w:val="FFFFFF" w:themeColor="background1"/>
    </w:rPr>
  </w:style>
  <w:style w:type="paragraph" w:customStyle="1" w:styleId="Tabletextheading">
    <w:name w:val="Table text (heading)"/>
    <w:basedOn w:val="Tabletext"/>
    <w:uiPriority w:val="2"/>
    <w:qFormat/>
    <w:rsid w:val="003F253D"/>
    <w:rPr>
      <w:b/>
      <w:color w:val="FFFFFF" w:themeColor="background1"/>
    </w:rPr>
  </w:style>
  <w:style w:type="paragraph" w:styleId="NoSpacing">
    <w:name w:val="No Spacing"/>
    <w:uiPriority w:val="3"/>
    <w:qFormat/>
    <w:rsid w:val="003F253D"/>
    <w:pPr>
      <w:spacing w:after="0" w:line="240" w:lineRule="auto"/>
    </w:pPr>
    <w:rPr>
      <w:color w:val="5B5D62" w:themeColor="accent6" w:themeShade="80"/>
      <w:sz w:val="18"/>
      <w:szCs w:val="18"/>
      <w:lang w:val="en-GB"/>
    </w:rPr>
  </w:style>
  <w:style w:type="paragraph" w:customStyle="1" w:styleId="Layoutspacer">
    <w:name w:val="Layout spacer"/>
    <w:basedOn w:val="BodyText"/>
    <w:uiPriority w:val="99"/>
    <w:rsid w:val="003F253D"/>
    <w:pPr>
      <w:spacing w:before="0" w:line="240" w:lineRule="auto"/>
    </w:pPr>
    <w:rPr>
      <w:vanish/>
      <w:color w:val="C00000"/>
    </w:rPr>
  </w:style>
  <w:style w:type="character" w:styleId="PlaceholderText">
    <w:name w:val="Placeholder Text"/>
    <w:basedOn w:val="DefaultParagraphFont"/>
    <w:uiPriority w:val="99"/>
    <w:semiHidden/>
    <w:rsid w:val="003F253D"/>
    <w:rPr>
      <w:color w:val="808080"/>
    </w:rPr>
  </w:style>
  <w:style w:type="paragraph" w:styleId="Caption">
    <w:name w:val="caption"/>
    <w:basedOn w:val="Normal"/>
    <w:next w:val="Normal"/>
    <w:uiPriority w:val="3"/>
    <w:qFormat/>
    <w:rsid w:val="003F253D"/>
    <w:pPr>
      <w:spacing w:before="0" w:after="200" w:line="240" w:lineRule="auto"/>
    </w:pPr>
    <w:rPr>
      <w:iCs/>
      <w:color w:val="1ED2E6" w:themeColor="accent1"/>
    </w:rPr>
  </w:style>
  <w:style w:type="paragraph" w:styleId="TOCHeading">
    <w:name w:val="TOC Heading"/>
    <w:basedOn w:val="Heading1"/>
    <w:next w:val="Normal"/>
    <w:uiPriority w:val="99"/>
    <w:semiHidden/>
    <w:qFormat/>
    <w:rsid w:val="003F253D"/>
    <w:pPr>
      <w:numPr>
        <w:numId w:val="0"/>
      </w:numPr>
      <w:spacing w:before="0" w:after="600" w:line="312" w:lineRule="auto"/>
      <w:outlineLvl w:val="9"/>
    </w:pPr>
    <w:rPr>
      <w:rFonts w:asciiTheme="majorHAnsi" w:eastAsiaTheme="majorEastAsia" w:hAnsiTheme="majorHAnsi" w:cstheme="majorBidi"/>
      <w:caps w:val="0"/>
      <w:sz w:val="60"/>
      <w:szCs w:val="60"/>
    </w:rPr>
  </w:style>
  <w:style w:type="paragraph" w:styleId="TOC1">
    <w:name w:val="toc 1"/>
    <w:basedOn w:val="Normal"/>
    <w:next w:val="Normal"/>
    <w:autoRedefine/>
    <w:uiPriority w:val="39"/>
    <w:semiHidden/>
    <w:rsid w:val="003F253D"/>
    <w:pPr>
      <w:tabs>
        <w:tab w:val="right" w:leader="dot" w:pos="9854"/>
      </w:tabs>
      <w:spacing w:after="40"/>
    </w:pPr>
    <w:rPr>
      <w:b/>
      <w:caps/>
      <w:color w:val="1ED2E6" w:themeColor="accent1"/>
      <w:sz w:val="22"/>
      <w:szCs w:val="22"/>
    </w:rPr>
  </w:style>
  <w:style w:type="paragraph" w:styleId="TOC2">
    <w:name w:val="toc 2"/>
    <w:basedOn w:val="Normal"/>
    <w:next w:val="Normal"/>
    <w:autoRedefine/>
    <w:uiPriority w:val="39"/>
    <w:semiHidden/>
    <w:rsid w:val="003F253D"/>
    <w:pPr>
      <w:tabs>
        <w:tab w:val="left" w:pos="660"/>
        <w:tab w:val="right" w:leader="dot" w:pos="9854"/>
      </w:tabs>
      <w:spacing w:before="40" w:after="40"/>
      <w:ind w:left="180"/>
    </w:pPr>
    <w:rPr>
      <w:color w:val="5B5D62" w:themeColor="accent6" w:themeShade="80"/>
    </w:rPr>
  </w:style>
  <w:style w:type="paragraph" w:styleId="TOC3">
    <w:name w:val="toc 3"/>
    <w:basedOn w:val="Normal"/>
    <w:next w:val="Normal"/>
    <w:autoRedefine/>
    <w:uiPriority w:val="39"/>
    <w:semiHidden/>
    <w:rsid w:val="003F253D"/>
    <w:pPr>
      <w:tabs>
        <w:tab w:val="left" w:pos="1100"/>
        <w:tab w:val="right" w:leader="dot" w:pos="9854"/>
      </w:tabs>
      <w:spacing w:before="40" w:after="40"/>
      <w:ind w:left="360"/>
    </w:pPr>
    <w:rPr>
      <w:color w:val="5B5D62" w:themeColor="accent6" w:themeShade="80"/>
    </w:rPr>
  </w:style>
  <w:style w:type="character" w:styleId="Hyperlink">
    <w:name w:val="Hyperlink"/>
    <w:basedOn w:val="DefaultParagraphFont"/>
    <w:uiPriority w:val="99"/>
    <w:unhideWhenUsed/>
    <w:rsid w:val="003F253D"/>
    <w:rPr>
      <w:color w:val="1ED2E6" w:themeColor="hyperlink"/>
      <w:u w:val="single"/>
    </w:rPr>
  </w:style>
  <w:style w:type="character" w:customStyle="1" w:styleId="Accentcolour1">
    <w:name w:val="*Accent colour 1"/>
    <w:basedOn w:val="DefaultParagraphFont"/>
    <w:uiPriority w:val="99"/>
    <w:qFormat/>
    <w:rsid w:val="003F253D"/>
    <w:rPr>
      <w:color w:val="1ED2E6" w:themeColor="accent1"/>
    </w:rPr>
  </w:style>
  <w:style w:type="character" w:customStyle="1" w:styleId="Accentcolour1bold">
    <w:name w:val="*Accent colour 1 (bold)"/>
    <w:basedOn w:val="Accentcolour1"/>
    <w:uiPriority w:val="99"/>
    <w:qFormat/>
    <w:rsid w:val="003F253D"/>
    <w:rPr>
      <w:b/>
      <w:color w:val="1ED2E6" w:themeColor="accent1"/>
    </w:rPr>
  </w:style>
  <w:style w:type="character" w:customStyle="1" w:styleId="Accentcolour2">
    <w:name w:val="*Accent colour 2"/>
    <w:basedOn w:val="DefaultParagraphFont"/>
    <w:uiPriority w:val="99"/>
    <w:qFormat/>
    <w:rsid w:val="003F253D"/>
    <w:rPr>
      <w:color w:val="28A0BF" w:themeColor="accent2"/>
    </w:rPr>
  </w:style>
  <w:style w:type="character" w:customStyle="1" w:styleId="Accentcolour2bold">
    <w:name w:val="*Accent colour 2 (bold)"/>
    <w:basedOn w:val="Accentcolour2"/>
    <w:uiPriority w:val="99"/>
    <w:qFormat/>
    <w:rsid w:val="003F253D"/>
    <w:rPr>
      <w:b/>
      <w:color w:val="28A0BF" w:themeColor="accent2"/>
    </w:rPr>
  </w:style>
  <w:style w:type="character" w:customStyle="1" w:styleId="Accentcolour3">
    <w:name w:val="*Accent colour 3"/>
    <w:basedOn w:val="DefaultParagraphFont"/>
    <w:uiPriority w:val="99"/>
    <w:qFormat/>
    <w:rsid w:val="003F253D"/>
    <w:rPr>
      <w:color w:val="025B7A" w:themeColor="accent3"/>
    </w:rPr>
  </w:style>
  <w:style w:type="character" w:customStyle="1" w:styleId="Accentcolour3bold">
    <w:name w:val="*Accent colour 3 (bold)"/>
    <w:basedOn w:val="Accentcolour3"/>
    <w:uiPriority w:val="99"/>
    <w:qFormat/>
    <w:rsid w:val="003F253D"/>
    <w:rPr>
      <w:b/>
      <w:color w:val="025B7A" w:themeColor="accent3"/>
    </w:rPr>
  </w:style>
  <w:style w:type="character" w:customStyle="1" w:styleId="Accentcolour4">
    <w:name w:val="*Accent colour 4"/>
    <w:basedOn w:val="DefaultParagraphFont"/>
    <w:uiPriority w:val="99"/>
    <w:qFormat/>
    <w:rsid w:val="003F253D"/>
    <w:rPr>
      <w:color w:val="063246" w:themeColor="accent4"/>
    </w:rPr>
  </w:style>
  <w:style w:type="character" w:customStyle="1" w:styleId="Accentcolour4bold">
    <w:name w:val="*Accent colour 4 (bold)"/>
    <w:basedOn w:val="Accentcolour4"/>
    <w:uiPriority w:val="99"/>
    <w:qFormat/>
    <w:rsid w:val="003F253D"/>
    <w:rPr>
      <w:b/>
      <w:color w:val="063246" w:themeColor="accent4"/>
    </w:rPr>
  </w:style>
  <w:style w:type="character" w:customStyle="1" w:styleId="Accentcolour5">
    <w:name w:val="*Accent colour 5"/>
    <w:basedOn w:val="DefaultParagraphFont"/>
    <w:uiPriority w:val="99"/>
    <w:qFormat/>
    <w:rsid w:val="003F253D"/>
    <w:rPr>
      <w:color w:val="92E9F5" w:themeColor="accent5"/>
    </w:rPr>
  </w:style>
  <w:style w:type="character" w:customStyle="1" w:styleId="Accentcolour5bold">
    <w:name w:val="*Accent colour 5 (bold)"/>
    <w:basedOn w:val="Accentcolour5"/>
    <w:uiPriority w:val="99"/>
    <w:qFormat/>
    <w:rsid w:val="003F253D"/>
    <w:rPr>
      <w:b/>
      <w:color w:val="92E9F5" w:themeColor="accent5"/>
    </w:rPr>
  </w:style>
  <w:style w:type="character" w:customStyle="1" w:styleId="Accentcolour6">
    <w:name w:val="*Accent colour 6"/>
    <w:basedOn w:val="DefaultParagraphFont"/>
    <w:uiPriority w:val="99"/>
    <w:qFormat/>
    <w:rsid w:val="003F253D"/>
    <w:rPr>
      <w:color w:val="BABCBF" w:themeColor="accent6"/>
    </w:rPr>
  </w:style>
  <w:style w:type="character" w:customStyle="1" w:styleId="Accentcolour6bold">
    <w:name w:val="*Accent colour 6 (bold)"/>
    <w:basedOn w:val="Accentcolour6"/>
    <w:uiPriority w:val="99"/>
    <w:qFormat/>
    <w:rsid w:val="003F253D"/>
    <w:rPr>
      <w:b/>
      <w:color w:val="BABCBF" w:themeColor="accent6"/>
    </w:rPr>
  </w:style>
  <w:style w:type="character" w:customStyle="1" w:styleId="ALLCAPS">
    <w:name w:val="*ALL CAPS"/>
    <w:basedOn w:val="DefaultParagraphFont"/>
    <w:uiPriority w:val="99"/>
    <w:qFormat/>
    <w:rsid w:val="003F253D"/>
    <w:rPr>
      <w:caps/>
      <w:smallCaps w:val="0"/>
    </w:rPr>
  </w:style>
  <w:style w:type="character" w:customStyle="1" w:styleId="Subscript">
    <w:name w:val="*Subscript"/>
    <w:basedOn w:val="DefaultParagraphFont"/>
    <w:uiPriority w:val="99"/>
    <w:qFormat/>
    <w:rsid w:val="003F253D"/>
    <w:rPr>
      <w:vertAlign w:val="subscript"/>
    </w:rPr>
  </w:style>
  <w:style w:type="character" w:customStyle="1" w:styleId="Superscript">
    <w:name w:val="*Superscript"/>
    <w:basedOn w:val="DefaultParagraphFont"/>
    <w:uiPriority w:val="99"/>
    <w:qFormat/>
    <w:rsid w:val="003F253D"/>
    <w:rPr>
      <w:vertAlign w:val="superscript"/>
    </w:rPr>
  </w:style>
  <w:style w:type="paragraph" w:styleId="Quote">
    <w:name w:val="Quote"/>
    <w:basedOn w:val="BodyText"/>
    <w:next w:val="Normal"/>
    <w:link w:val="QuoteChar"/>
    <w:uiPriority w:val="3"/>
    <w:qFormat/>
    <w:rsid w:val="003F253D"/>
    <w:pPr>
      <w:framePr w:w="3402" w:hSpace="454" w:wrap="around" w:vAnchor="text" w:hAnchor="margin" w:xAlign="right" w:y="1"/>
      <w:pBdr>
        <w:top w:val="dotted" w:sz="6" w:space="12" w:color="auto"/>
        <w:bottom w:val="dotted" w:sz="6" w:space="4" w:color="auto"/>
      </w:pBdr>
      <w:spacing w:after="160" w:line="264" w:lineRule="auto"/>
    </w:pPr>
    <w:rPr>
      <w:b/>
      <w:bCs/>
      <w:sz w:val="24"/>
      <w:szCs w:val="24"/>
    </w:rPr>
  </w:style>
  <w:style w:type="character" w:customStyle="1" w:styleId="QuoteChar">
    <w:name w:val="Quote Char"/>
    <w:basedOn w:val="DefaultParagraphFont"/>
    <w:link w:val="Quote"/>
    <w:uiPriority w:val="3"/>
    <w:rsid w:val="006C2166"/>
    <w:rPr>
      <w:b/>
      <w:bCs/>
      <w:color w:val="5B5D62" w:themeColor="accent6" w:themeShade="80"/>
      <w:sz w:val="24"/>
      <w:szCs w:val="24"/>
      <w:lang w:val="en-GB"/>
    </w:rPr>
  </w:style>
  <w:style w:type="paragraph" w:customStyle="1" w:styleId="Tablenotesorsource">
    <w:name w:val="Table notes or source"/>
    <w:basedOn w:val="BodyText"/>
    <w:qFormat/>
    <w:rsid w:val="003F253D"/>
    <w:pPr>
      <w:numPr>
        <w:numId w:val="47"/>
      </w:numPr>
    </w:pPr>
    <w:rPr>
      <w:sz w:val="16"/>
      <w:szCs w:val="16"/>
    </w:rPr>
  </w:style>
  <w:style w:type="paragraph" w:customStyle="1" w:styleId="Tablenotenumbers">
    <w:name w:val="Table note numbers"/>
    <w:basedOn w:val="BodyText"/>
    <w:qFormat/>
    <w:rsid w:val="003F253D"/>
    <w:pPr>
      <w:numPr>
        <w:ilvl w:val="1"/>
        <w:numId w:val="47"/>
      </w:numPr>
      <w:spacing w:before="40" w:after="40"/>
    </w:pPr>
    <w:rPr>
      <w:sz w:val="16"/>
      <w:szCs w:val="16"/>
    </w:rPr>
  </w:style>
  <w:style w:type="character" w:customStyle="1" w:styleId="Whitetext">
    <w:name w:val="*White text"/>
    <w:basedOn w:val="DefaultParagraphFont"/>
    <w:uiPriority w:val="99"/>
    <w:qFormat/>
    <w:rsid w:val="003F253D"/>
    <w:rPr>
      <w:color w:val="FFFFFF" w:themeColor="background1"/>
    </w:rPr>
  </w:style>
  <w:style w:type="character" w:customStyle="1" w:styleId="Companyfooter">
    <w:name w:val="*Company footer"/>
    <w:basedOn w:val="Accentcolour1bold"/>
    <w:uiPriority w:val="99"/>
    <w:qFormat/>
    <w:rsid w:val="003F253D"/>
    <w:rPr>
      <w:b/>
      <w:caps/>
      <w:color w:val="1ED2E6" w:themeColor="accent1"/>
    </w:rPr>
  </w:style>
  <w:style w:type="paragraph" w:styleId="ListNumber">
    <w:name w:val="List Number"/>
    <w:basedOn w:val="Normal"/>
    <w:qFormat/>
    <w:rsid w:val="002A699A"/>
    <w:pPr>
      <w:numPr>
        <w:numId w:val="40"/>
      </w:numPr>
      <w:ind w:left="227" w:hanging="227"/>
      <w:contextualSpacing/>
    </w:pPr>
    <w:rPr>
      <w:color w:val="5B5D62" w:themeColor="accent6" w:themeShade="80"/>
    </w:rPr>
  </w:style>
  <w:style w:type="paragraph" w:styleId="ListNumber2">
    <w:name w:val="List Number 2"/>
    <w:basedOn w:val="Normal"/>
    <w:qFormat/>
    <w:rsid w:val="002A699A"/>
    <w:pPr>
      <w:numPr>
        <w:numId w:val="41"/>
      </w:numPr>
      <w:ind w:left="454" w:hanging="227"/>
      <w:contextualSpacing/>
    </w:pPr>
    <w:rPr>
      <w:color w:val="5B5D62" w:themeColor="accent6" w:themeShade="80"/>
    </w:rPr>
  </w:style>
  <w:style w:type="paragraph" w:styleId="ListNumber3">
    <w:name w:val="List Number 3"/>
    <w:basedOn w:val="Normal"/>
    <w:qFormat/>
    <w:rsid w:val="002A699A"/>
    <w:pPr>
      <w:numPr>
        <w:numId w:val="42"/>
      </w:numPr>
      <w:ind w:left="681" w:hanging="227"/>
      <w:contextualSpacing/>
    </w:pPr>
    <w:rPr>
      <w:color w:val="5B5D62" w:themeColor="accent6" w:themeShade="80"/>
    </w:rPr>
  </w:style>
  <w:style w:type="paragraph" w:customStyle="1" w:styleId="Addressandname">
    <w:name w:val="Address and name"/>
    <w:basedOn w:val="BodyText"/>
    <w:uiPriority w:val="99"/>
    <w:semiHidden/>
    <w:rsid w:val="003F253D"/>
    <w:pPr>
      <w:spacing w:after="480" w:line="264" w:lineRule="auto"/>
      <w:contextualSpacing/>
    </w:pPr>
    <w:rPr>
      <w:color w:val="1ED2E6" w:themeColor="accent1"/>
    </w:rPr>
  </w:style>
  <w:style w:type="paragraph" w:customStyle="1" w:styleId="Header1">
    <w:name w:val="Header 1"/>
    <w:basedOn w:val="Heading1"/>
    <w:next w:val="Normal"/>
    <w:uiPriority w:val="1"/>
    <w:qFormat/>
    <w:rsid w:val="003F253D"/>
    <w:pPr>
      <w:numPr>
        <w:numId w:val="0"/>
      </w:numPr>
    </w:pPr>
  </w:style>
  <w:style w:type="paragraph" w:customStyle="1" w:styleId="AppendixHeading1">
    <w:name w:val="Appendix Heading 1"/>
    <w:basedOn w:val="Header1"/>
    <w:uiPriority w:val="2"/>
    <w:qFormat/>
    <w:rsid w:val="003F253D"/>
    <w:pPr>
      <w:numPr>
        <w:numId w:val="36"/>
      </w:numPr>
    </w:pPr>
  </w:style>
  <w:style w:type="paragraph" w:customStyle="1" w:styleId="Header2">
    <w:name w:val="Header 2"/>
    <w:basedOn w:val="Heading2"/>
    <w:next w:val="Normal"/>
    <w:uiPriority w:val="1"/>
    <w:qFormat/>
    <w:rsid w:val="003F253D"/>
    <w:pPr>
      <w:numPr>
        <w:ilvl w:val="0"/>
        <w:numId w:val="0"/>
      </w:numPr>
    </w:pPr>
  </w:style>
  <w:style w:type="paragraph" w:customStyle="1" w:styleId="AppendixHeading2">
    <w:name w:val="Appendix Heading 2"/>
    <w:basedOn w:val="Header2"/>
    <w:uiPriority w:val="2"/>
    <w:qFormat/>
    <w:rsid w:val="003F253D"/>
    <w:pPr>
      <w:numPr>
        <w:ilvl w:val="1"/>
        <w:numId w:val="36"/>
      </w:numPr>
    </w:pPr>
  </w:style>
  <w:style w:type="paragraph" w:customStyle="1" w:styleId="Header3">
    <w:name w:val="Header 3"/>
    <w:basedOn w:val="Heading3"/>
    <w:next w:val="Normal"/>
    <w:uiPriority w:val="1"/>
    <w:qFormat/>
    <w:rsid w:val="003F253D"/>
    <w:pPr>
      <w:numPr>
        <w:ilvl w:val="0"/>
        <w:numId w:val="0"/>
      </w:numPr>
    </w:pPr>
  </w:style>
  <w:style w:type="paragraph" w:customStyle="1" w:styleId="AppendixHeading3">
    <w:name w:val="Appendix Heading 3"/>
    <w:basedOn w:val="Header3"/>
    <w:uiPriority w:val="2"/>
    <w:qFormat/>
    <w:rsid w:val="003F253D"/>
    <w:pPr>
      <w:numPr>
        <w:ilvl w:val="2"/>
        <w:numId w:val="36"/>
      </w:numPr>
    </w:pPr>
  </w:style>
  <w:style w:type="paragraph" w:customStyle="1" w:styleId="Header4">
    <w:name w:val="Header 4"/>
    <w:basedOn w:val="Heading4"/>
    <w:next w:val="Normal"/>
    <w:uiPriority w:val="1"/>
    <w:qFormat/>
    <w:rsid w:val="003F253D"/>
    <w:pPr>
      <w:numPr>
        <w:ilvl w:val="0"/>
        <w:numId w:val="0"/>
      </w:numPr>
    </w:pPr>
  </w:style>
  <w:style w:type="paragraph" w:customStyle="1" w:styleId="AppendixHeading4">
    <w:name w:val="Appendix Heading 4"/>
    <w:basedOn w:val="Header4"/>
    <w:uiPriority w:val="2"/>
    <w:qFormat/>
    <w:rsid w:val="003F253D"/>
    <w:pPr>
      <w:numPr>
        <w:ilvl w:val="3"/>
        <w:numId w:val="36"/>
      </w:numPr>
    </w:pPr>
  </w:style>
  <w:style w:type="paragraph" w:customStyle="1" w:styleId="Header5">
    <w:name w:val="Header 5"/>
    <w:basedOn w:val="Heading5"/>
    <w:next w:val="Normal"/>
    <w:uiPriority w:val="1"/>
    <w:qFormat/>
    <w:rsid w:val="003F253D"/>
    <w:pPr>
      <w:numPr>
        <w:ilvl w:val="0"/>
        <w:numId w:val="0"/>
      </w:numPr>
    </w:pPr>
  </w:style>
  <w:style w:type="paragraph" w:customStyle="1" w:styleId="AppendixHeading5">
    <w:name w:val="Appendix Heading 5"/>
    <w:basedOn w:val="Header5"/>
    <w:uiPriority w:val="2"/>
    <w:qFormat/>
    <w:rsid w:val="003F253D"/>
    <w:pPr>
      <w:numPr>
        <w:ilvl w:val="4"/>
        <w:numId w:val="36"/>
      </w:numPr>
    </w:pPr>
  </w:style>
  <w:style w:type="paragraph" w:customStyle="1" w:styleId="Header6">
    <w:name w:val="Header 6"/>
    <w:basedOn w:val="Heading6"/>
    <w:next w:val="Normal"/>
    <w:uiPriority w:val="1"/>
    <w:qFormat/>
    <w:rsid w:val="003F253D"/>
    <w:pPr>
      <w:numPr>
        <w:ilvl w:val="0"/>
        <w:numId w:val="0"/>
      </w:numPr>
    </w:pPr>
  </w:style>
  <w:style w:type="paragraph" w:customStyle="1" w:styleId="AppendixHeading6">
    <w:name w:val="Appendix Heading 6"/>
    <w:basedOn w:val="Header6"/>
    <w:uiPriority w:val="2"/>
    <w:qFormat/>
    <w:rsid w:val="003F253D"/>
    <w:pPr>
      <w:numPr>
        <w:ilvl w:val="5"/>
        <w:numId w:val="36"/>
      </w:numPr>
    </w:pPr>
  </w:style>
  <w:style w:type="paragraph" w:customStyle="1" w:styleId="AppendixPara1">
    <w:name w:val="Appendix Para 1"/>
    <w:basedOn w:val="Tabletext"/>
    <w:uiPriority w:val="2"/>
    <w:qFormat/>
    <w:rsid w:val="003F253D"/>
    <w:pPr>
      <w:numPr>
        <w:ilvl w:val="6"/>
        <w:numId w:val="36"/>
      </w:numPr>
      <w:spacing w:before="160" w:after="0" w:line="312" w:lineRule="auto"/>
      <w:contextualSpacing/>
    </w:pPr>
  </w:style>
  <w:style w:type="paragraph" w:customStyle="1" w:styleId="AppendixPara2">
    <w:name w:val="Appendix Para 2"/>
    <w:basedOn w:val="Tabletext"/>
    <w:uiPriority w:val="2"/>
    <w:qFormat/>
    <w:rsid w:val="003F253D"/>
    <w:pPr>
      <w:numPr>
        <w:ilvl w:val="7"/>
        <w:numId w:val="36"/>
      </w:numPr>
      <w:spacing w:before="160" w:after="0" w:line="312" w:lineRule="auto"/>
      <w:contextualSpacing/>
    </w:pPr>
  </w:style>
  <w:style w:type="paragraph" w:customStyle="1" w:styleId="AppendixPara3">
    <w:name w:val="Appendix Para 3"/>
    <w:basedOn w:val="Tabletext"/>
    <w:uiPriority w:val="2"/>
    <w:qFormat/>
    <w:rsid w:val="003F253D"/>
    <w:pPr>
      <w:numPr>
        <w:ilvl w:val="8"/>
        <w:numId w:val="36"/>
      </w:numPr>
      <w:spacing w:before="160" w:after="0" w:line="312" w:lineRule="auto"/>
      <w:contextualSpacing/>
    </w:pPr>
  </w:style>
  <w:style w:type="paragraph" w:customStyle="1" w:styleId="Coverdate">
    <w:name w:val="Cover date"/>
    <w:basedOn w:val="Normal"/>
    <w:uiPriority w:val="99"/>
    <w:rsid w:val="003F253D"/>
    <w:rPr>
      <w:b/>
      <w:bCs/>
      <w:color w:val="888C91" w:themeColor="accent6" w:themeShade="BF"/>
      <w:sz w:val="24"/>
      <w:szCs w:val="24"/>
    </w:rPr>
  </w:style>
  <w:style w:type="paragraph" w:styleId="Date">
    <w:name w:val="Date"/>
    <w:basedOn w:val="BodyText"/>
    <w:next w:val="Normal"/>
    <w:link w:val="DateChar"/>
    <w:uiPriority w:val="99"/>
    <w:semiHidden/>
    <w:rsid w:val="003F253D"/>
    <w:pPr>
      <w:spacing w:before="0" w:after="480"/>
    </w:pPr>
  </w:style>
  <w:style w:type="character" w:customStyle="1" w:styleId="DateChar">
    <w:name w:val="Date Char"/>
    <w:basedOn w:val="DefaultParagraphFont"/>
    <w:link w:val="Date"/>
    <w:uiPriority w:val="99"/>
    <w:semiHidden/>
    <w:rsid w:val="006C2166"/>
    <w:rPr>
      <w:color w:val="5B5D62" w:themeColor="accent6" w:themeShade="80"/>
      <w:sz w:val="20"/>
      <w:szCs w:val="18"/>
      <w:lang w:val="en-GB"/>
    </w:rPr>
  </w:style>
  <w:style w:type="paragraph" w:customStyle="1" w:styleId="Letterheadheader">
    <w:name w:val="Letterhead header"/>
    <w:basedOn w:val="Addressandname"/>
    <w:uiPriority w:val="99"/>
    <w:semiHidden/>
    <w:rsid w:val="003F253D"/>
    <w:pPr>
      <w:spacing w:after="0"/>
      <w:contextualSpacing w:val="0"/>
    </w:pPr>
  </w:style>
  <w:style w:type="paragraph" w:styleId="Signature">
    <w:name w:val="Signature"/>
    <w:basedOn w:val="BodyText"/>
    <w:link w:val="SignatureChar"/>
    <w:uiPriority w:val="99"/>
    <w:semiHidden/>
    <w:rsid w:val="003F253D"/>
    <w:pPr>
      <w:spacing w:before="1200" w:line="240" w:lineRule="auto"/>
      <w:contextualSpacing/>
    </w:pPr>
  </w:style>
  <w:style w:type="character" w:customStyle="1" w:styleId="SignatureChar">
    <w:name w:val="Signature Char"/>
    <w:basedOn w:val="DefaultParagraphFont"/>
    <w:link w:val="Signature"/>
    <w:uiPriority w:val="99"/>
    <w:semiHidden/>
    <w:rsid w:val="006C2166"/>
    <w:rPr>
      <w:color w:val="5B5D62" w:themeColor="accent6" w:themeShade="80"/>
      <w:sz w:val="20"/>
      <w:szCs w:val="18"/>
      <w:lang w:val="en-GB"/>
    </w:rPr>
  </w:style>
  <w:style w:type="paragraph" w:customStyle="1" w:styleId="Signoff">
    <w:name w:val="Sign off"/>
    <w:basedOn w:val="Signature"/>
    <w:uiPriority w:val="99"/>
    <w:semiHidden/>
    <w:rsid w:val="003F253D"/>
    <w:pPr>
      <w:spacing w:before="360"/>
    </w:pPr>
  </w:style>
  <w:style w:type="paragraph" w:customStyle="1" w:styleId="Subject">
    <w:name w:val="Subject"/>
    <w:basedOn w:val="BodyText"/>
    <w:uiPriority w:val="99"/>
    <w:semiHidden/>
    <w:rsid w:val="003F253D"/>
    <w:pPr>
      <w:spacing w:after="160"/>
    </w:pPr>
    <w:rPr>
      <w:color w:val="1ED2E6" w:themeColor="accent1"/>
      <w:szCs w:val="16"/>
    </w:rPr>
  </w:style>
  <w:style w:type="paragraph" w:styleId="FootnoteText">
    <w:name w:val="footnote text"/>
    <w:basedOn w:val="Normal"/>
    <w:link w:val="FootnoteTextChar"/>
    <w:uiPriority w:val="99"/>
    <w:semiHidden/>
    <w:unhideWhenUsed/>
    <w:rsid w:val="00EC4F7C"/>
    <w:pPr>
      <w:spacing w:before="0" w:line="240" w:lineRule="auto"/>
    </w:pPr>
    <w:rPr>
      <w:szCs w:val="20"/>
    </w:rPr>
  </w:style>
  <w:style w:type="character" w:customStyle="1" w:styleId="FootnoteTextChar">
    <w:name w:val="Footnote Text Char"/>
    <w:basedOn w:val="DefaultParagraphFont"/>
    <w:link w:val="FootnoteText"/>
    <w:uiPriority w:val="99"/>
    <w:semiHidden/>
    <w:rsid w:val="00EC4F7C"/>
    <w:rPr>
      <w:sz w:val="20"/>
      <w:szCs w:val="20"/>
      <w:lang w:val="en-GB"/>
    </w:rPr>
  </w:style>
  <w:style w:type="character" w:styleId="FootnoteReference">
    <w:name w:val="footnote reference"/>
    <w:basedOn w:val="DefaultParagraphFont"/>
    <w:uiPriority w:val="99"/>
    <w:semiHidden/>
    <w:unhideWhenUsed/>
    <w:rsid w:val="00EC4F7C"/>
    <w:rPr>
      <w:vertAlign w:val="superscript"/>
    </w:rPr>
  </w:style>
  <w:style w:type="character" w:styleId="CommentReference">
    <w:name w:val="annotation reference"/>
    <w:basedOn w:val="DefaultParagraphFont"/>
    <w:uiPriority w:val="99"/>
    <w:semiHidden/>
    <w:unhideWhenUsed/>
    <w:rsid w:val="00EA70AF"/>
    <w:rPr>
      <w:sz w:val="16"/>
      <w:szCs w:val="16"/>
    </w:rPr>
  </w:style>
  <w:style w:type="paragraph" w:styleId="CommentText">
    <w:name w:val="annotation text"/>
    <w:basedOn w:val="Normal"/>
    <w:link w:val="CommentTextChar"/>
    <w:uiPriority w:val="99"/>
    <w:unhideWhenUsed/>
    <w:rsid w:val="00EA70AF"/>
    <w:pPr>
      <w:spacing w:line="240" w:lineRule="auto"/>
    </w:pPr>
    <w:rPr>
      <w:szCs w:val="20"/>
    </w:rPr>
  </w:style>
  <w:style w:type="character" w:customStyle="1" w:styleId="CommentTextChar">
    <w:name w:val="Comment Text Char"/>
    <w:basedOn w:val="DefaultParagraphFont"/>
    <w:link w:val="CommentText"/>
    <w:uiPriority w:val="99"/>
    <w:rsid w:val="00EA70AF"/>
    <w:rPr>
      <w:sz w:val="20"/>
      <w:szCs w:val="20"/>
      <w:lang w:val="en-GB"/>
    </w:rPr>
  </w:style>
  <w:style w:type="paragraph" w:styleId="CommentSubject">
    <w:name w:val="annotation subject"/>
    <w:basedOn w:val="CommentText"/>
    <w:next w:val="CommentText"/>
    <w:link w:val="CommentSubjectChar"/>
    <w:uiPriority w:val="99"/>
    <w:semiHidden/>
    <w:unhideWhenUsed/>
    <w:rsid w:val="00EA70AF"/>
    <w:rPr>
      <w:b/>
      <w:bCs/>
    </w:rPr>
  </w:style>
  <w:style w:type="character" w:customStyle="1" w:styleId="CommentSubjectChar">
    <w:name w:val="Comment Subject Char"/>
    <w:basedOn w:val="CommentTextChar"/>
    <w:link w:val="CommentSubject"/>
    <w:uiPriority w:val="99"/>
    <w:semiHidden/>
    <w:rsid w:val="00EA70AF"/>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venturafm.com.au/media/1729/ventura-fsg-update-nov.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olai.Bull\AppData\Roaming\Microsoft\Templates\CA_document%20with%20block%20head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C2145D16DE4D0C9C71E54B9CC5E78F"/>
        <w:category>
          <w:name w:val="General"/>
          <w:gallery w:val="placeholder"/>
        </w:category>
        <w:types>
          <w:type w:val="bbPlcHdr"/>
        </w:types>
        <w:behaviors>
          <w:behavior w:val="content"/>
        </w:behaviors>
        <w:guid w:val="{A8D59886-BBDD-44B9-9054-31A913E0A550}"/>
      </w:docPartPr>
      <w:docPartBody>
        <w:p w:rsidR="00BA4316" w:rsidRDefault="00BA4316">
          <w:pPr>
            <w:pStyle w:val="3FC2145D16DE4D0C9C71E54B9CC5E78F"/>
          </w:pPr>
          <w:r w:rsidRPr="00A041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16"/>
    <w:rsid w:val="00392E77"/>
    <w:rsid w:val="004C3DC5"/>
    <w:rsid w:val="00507931"/>
    <w:rsid w:val="00554B3D"/>
    <w:rsid w:val="005D1DA4"/>
    <w:rsid w:val="00916D79"/>
    <w:rsid w:val="00BA4316"/>
    <w:rsid w:val="00C406E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FC2145D16DE4D0C9C71E54B9CC5E78F">
    <w:name w:val="3FC2145D16DE4D0C9C71E54B9CC5E7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A (primary colours)">
      <a:dk1>
        <a:srgbClr val="5A5B5E"/>
      </a:dk1>
      <a:lt1>
        <a:sysClr val="window" lastClr="FFFFFF"/>
      </a:lt1>
      <a:dk2>
        <a:srgbClr val="063246"/>
      </a:dk2>
      <a:lt2>
        <a:srgbClr val="5A5B5E"/>
      </a:lt2>
      <a:accent1>
        <a:srgbClr val="1ED2E6"/>
      </a:accent1>
      <a:accent2>
        <a:srgbClr val="28A0BF"/>
      </a:accent2>
      <a:accent3>
        <a:srgbClr val="025B7A"/>
      </a:accent3>
      <a:accent4>
        <a:srgbClr val="063246"/>
      </a:accent4>
      <a:accent5>
        <a:srgbClr val="92E9F5"/>
      </a:accent5>
      <a:accent6>
        <a:srgbClr val="BABCBF"/>
      </a:accent6>
      <a:hlink>
        <a:srgbClr val="1ED2E6"/>
      </a:hlink>
      <a:folHlink>
        <a:srgbClr val="28A0BF"/>
      </a:folHlink>
    </a:clrScheme>
    <a:fontScheme name="C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lumMod val="50000"/>
            </a:schemeClr>
          </a:solidFill>
          <a:prstDash val="sysDot"/>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sion_x0020_test xmlns="829623c0-46fb-43a5-bae2-543d7ba09c02" xsi:nil="true"/>
    <_Flow_SignoffStatus xmlns="829623c0-46fb-43a5-bae2-543d7ba09c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F428D8453BCA448CC2F35DB62A4E39" ma:contentTypeVersion="14" ma:contentTypeDescription="Create a new document." ma:contentTypeScope="" ma:versionID="315f3b31ab2642905711564fdeb50534">
  <xsd:schema xmlns:xsd="http://www.w3.org/2001/XMLSchema" xmlns:xs="http://www.w3.org/2001/XMLSchema" xmlns:p="http://schemas.microsoft.com/office/2006/metadata/properties" xmlns:ns2="829623c0-46fb-43a5-bae2-543d7ba09c02" xmlns:ns3="4481cb67-3781-40ef-adc9-f07a04a9ac7a" targetNamespace="http://schemas.microsoft.com/office/2006/metadata/properties" ma:root="true" ma:fieldsID="92082199c60e4133e202374974d9dbce" ns2:_="" ns3:_="">
    <xsd:import namespace="829623c0-46fb-43a5-bae2-543d7ba09c02"/>
    <xsd:import namespace="4481cb67-3781-40ef-adc9-f07a04a9ac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_Flow_SignoffStatus" minOccurs="0"/>
                <xsd:element ref="ns2:Version_x0020_test"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623c0-46fb-43a5-bae2-543d7ba09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Version_x0020_test" ma:index="13" nillable="true" ma:displayName="Version test" ma:format="Dropdown" ma:internalName="Version_x0020_test" ma:percentage="FALSE">
      <xsd:simpleType>
        <xsd:restriction base="dms:Number"/>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81cb67-3781-40ef-adc9-f07a04a9ac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EC388-D461-4A1A-A1A9-B37EA39107F3}">
  <ds:schemaRefs>
    <ds:schemaRef ds:uri="http://schemas.microsoft.com/sharepoint/v3/contenttype/forms"/>
  </ds:schemaRefs>
</ds:datastoreItem>
</file>

<file path=customXml/itemProps2.xml><?xml version="1.0" encoding="utf-8"?>
<ds:datastoreItem xmlns:ds="http://schemas.openxmlformats.org/officeDocument/2006/customXml" ds:itemID="{789A1552-D2CE-4209-A20D-1185E92D9450}">
  <ds:schemaRefs>
    <ds:schemaRef ds:uri="http://schemas.microsoft.com/office/2006/metadata/properties"/>
    <ds:schemaRef ds:uri="http://schemas.microsoft.com/office/infopath/2007/PartnerControls"/>
    <ds:schemaRef ds:uri="829623c0-46fb-43a5-bae2-543d7ba09c02"/>
  </ds:schemaRefs>
</ds:datastoreItem>
</file>

<file path=customXml/itemProps3.xml><?xml version="1.0" encoding="utf-8"?>
<ds:datastoreItem xmlns:ds="http://schemas.openxmlformats.org/officeDocument/2006/customXml" ds:itemID="{56166171-A3EA-4862-93F5-167414CD7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623c0-46fb-43a5-bae2-543d7ba09c02"/>
    <ds:schemaRef ds:uri="4481cb67-3781-40ef-adc9-f07a04a9a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9F729D-E269-447F-B52F-4E21B4A6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CA_document with block header</Template>
  <TotalTime>0</TotalTime>
  <Pages>4</Pages>
  <Words>1205</Words>
  <Characters>6871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Market and Economic Update</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and Economic Update</dc:title>
  <dc:subject/>
  <dc:creator>Nikolai Bull</dc:creator>
  <cp:keywords/>
  <dc:description/>
  <cp:lastModifiedBy>Nikolai Bull</cp:lastModifiedBy>
  <cp:revision>2</cp:revision>
  <dcterms:created xsi:type="dcterms:W3CDTF">2022-04-13T02:10:00Z</dcterms:created>
  <dcterms:modified xsi:type="dcterms:W3CDTF">2022-04-13T02:10:00Z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0x0101000BF428D8453BCA448CC2F35DB62A4E39</vt:lpwstr>
  </property>
</Properties>
</file>